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заштиту животне средине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-24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октобар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</w:t>
      </w:r>
    </w:p>
    <w:p w:rsidR="0038658B" w:rsidRPr="0048024C" w:rsidRDefault="008B1088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УГ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СЕДНИЦЕ OДБОРА ЗА ЗАШТИТУ ЖИВОТНЕ СРЕДИНЕ,</w:t>
      </w:r>
    </w:p>
    <w:p w:rsidR="0038658B" w:rsidRPr="0048024C" w:rsidRDefault="0038658B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је почела у 1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00 часова.</w:t>
      </w:r>
    </w:p>
    <w:p w:rsidR="0038658B" w:rsidRPr="0048024C" w:rsidRDefault="0038658B" w:rsidP="0038658B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1088" w:rsidRPr="0048024C" w:rsidRDefault="008B1088" w:rsidP="008B10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Седницом је председавао 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Милимир Вујадиновић,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8024C">
        <w:rPr>
          <w:rFonts w:ascii="Times New Roman" w:hAnsi="Times New Roman" w:cs="Times New Roman"/>
          <w:sz w:val="24"/>
          <w:szCs w:val="24"/>
          <w:lang w:val="sr-Cyrl-CS"/>
        </w:rPr>
        <w:t>председник Одбора.</w:t>
      </w:r>
    </w:p>
    <w:p w:rsidR="0038658B" w:rsidRPr="0048024C" w:rsidRDefault="0048024C" w:rsidP="008B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едници су присуствовали чланови Одбора: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еј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 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Булато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вић,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Ненад Ристовић,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Душан Марић,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Маријан Ристичевић, 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 Младеновић, Никола Пантелић</w:t>
      </w:r>
      <w:r w:rsidR="00330A19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Оливера Денић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Драгана Арсић, Зоран Стојановић, Мила Поповић, Борислав Новаковић, Татјана Марковић Топаловић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Добрица Веселиновић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 заменица члана Дијана Радовић (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Карић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8658B" w:rsidRPr="0048024C" w:rsidRDefault="00D17427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нису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ов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Одобра 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Санела Страиновић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>Александар Јовановић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>, као ни њихови заменици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0A19" w:rsidRPr="00CB1B94" w:rsidRDefault="0038658B" w:rsidP="00CB1B94">
      <w:pPr>
        <w:spacing w:after="0" w:line="240" w:lineRule="auto"/>
        <w:ind w:firstLine="720"/>
        <w:jc w:val="both"/>
        <w:rPr>
          <w:rFonts w:ascii="Aptos" w:hAnsi="Aptos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Министарства заштите животне средине: 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Павков, државна секретарка, Сан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 Докић, државна секретарка, Александра Имширагић Ђурић, помоћница министра, 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>Зоран Вељковић, начелник одељења за процену утицаја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>Соња Роглић, начелник одељења за хемикалије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>Сузана Милутиновић, шеф одсека за заштиту од великог хемијског удеса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B1B94" w:rsidRPr="00CB1B94">
        <w:rPr>
          <w:rFonts w:ascii="Times New Roman" w:hAnsi="Times New Roman" w:cs="Times New Roman"/>
          <w:sz w:val="24"/>
          <w:szCs w:val="24"/>
          <w:lang w:val="sr-Latn-RS"/>
        </w:rPr>
        <w:t>Ми</w:t>
      </w:r>
      <w:r w:rsidR="00CB1B94">
        <w:rPr>
          <w:rFonts w:ascii="Times New Roman" w:hAnsi="Times New Roman" w:cs="Times New Roman"/>
          <w:sz w:val="24"/>
          <w:szCs w:val="24"/>
          <w:lang w:val="sr-Latn-RS"/>
        </w:rPr>
        <w:t>рослав Тошовић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B1B94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B94" w:rsidRPr="00CB1B94">
        <w:rPr>
          <w:rFonts w:ascii="Times New Roman" w:hAnsi="Times New Roman" w:cs="Times New Roman"/>
          <w:sz w:val="24"/>
          <w:szCs w:val="24"/>
          <w:lang w:val="sr-Latn-RS"/>
        </w:rPr>
        <w:t>Милица Дураћ, стручни сарадни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>ци.</w:t>
      </w:r>
    </w:p>
    <w:p w:rsidR="0038658B" w:rsidRPr="0048024C" w:rsidRDefault="0038658B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8658B" w:rsidRPr="0048024C" w:rsidRDefault="0048024C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председника Одбора, усвојен је следећи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48024C" w:rsidRDefault="0038658B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024C" w:rsidRPr="0048024C" w:rsidRDefault="0048024C" w:rsidP="0048024C">
      <w:pPr>
        <w:pStyle w:val="ListParagraph"/>
        <w:numPr>
          <w:ilvl w:val="0"/>
          <w:numId w:val="3"/>
        </w:numPr>
        <w:rPr>
          <w:lang w:val="sr-Cyrl-RS"/>
        </w:rPr>
      </w:pPr>
      <w:r w:rsidRPr="0048024C">
        <w:rPr>
          <w:lang w:val="sr-Cyrl-CS"/>
        </w:rPr>
        <w:t>Разматрање Предлога закона о потврђивању Минамата конвенције о живи, који је поднела Влада</w:t>
      </w:r>
      <w:r w:rsidRPr="0048024C">
        <w:rPr>
          <w:lang w:val="sr-Cyrl-RS"/>
        </w:rPr>
        <w:t>,</w:t>
      </w:r>
    </w:p>
    <w:p w:rsidR="0048024C" w:rsidRPr="0048024C" w:rsidRDefault="0048024C" w:rsidP="0048024C">
      <w:pPr>
        <w:pStyle w:val="ListParagraph"/>
        <w:numPr>
          <w:ilvl w:val="0"/>
          <w:numId w:val="3"/>
        </w:numPr>
        <w:rPr>
          <w:lang w:val="sr-Cyrl-CS"/>
        </w:rPr>
      </w:pPr>
      <w:r w:rsidRPr="0048024C">
        <w:rPr>
          <w:lang w:val="sr-Cyrl-CS"/>
        </w:rPr>
        <w:t>Разматрање Предлога закона о процени утицаја на животну средину, који је поднела Влада, у начелу,</w:t>
      </w:r>
    </w:p>
    <w:p w:rsidR="0048024C" w:rsidRPr="0048024C" w:rsidRDefault="0048024C" w:rsidP="0048024C">
      <w:pPr>
        <w:pStyle w:val="ListParagraph"/>
        <w:numPr>
          <w:ilvl w:val="0"/>
          <w:numId w:val="3"/>
        </w:numPr>
        <w:rPr>
          <w:lang w:val="sr-Cyrl-CS"/>
        </w:rPr>
      </w:pPr>
      <w:r w:rsidRPr="0048024C">
        <w:rPr>
          <w:lang w:val="sr-Cyrl-CS"/>
        </w:rPr>
        <w:t>Разматрање Предлога закона о стратешкој процени утицаја на животну средину, који је поднела Влада, у начелу,</w:t>
      </w:r>
    </w:p>
    <w:p w:rsidR="0048024C" w:rsidRDefault="0048024C" w:rsidP="0048024C">
      <w:pPr>
        <w:pStyle w:val="ListParagraph"/>
        <w:numPr>
          <w:ilvl w:val="0"/>
          <w:numId w:val="3"/>
        </w:numPr>
        <w:rPr>
          <w:lang w:val="sr-Cyrl-CS"/>
        </w:rPr>
      </w:pPr>
      <w:r w:rsidRPr="0048024C">
        <w:rPr>
          <w:lang w:val="sr-Cyrl-CS"/>
        </w:rPr>
        <w:t>Разматрање Предлога закона о контроли опасности од великих удеса који укључују опасне супстанце, који је поднела Влада, у начелу.</w:t>
      </w:r>
    </w:p>
    <w:p w:rsidR="0074571D" w:rsidRDefault="0074571D" w:rsidP="0074571D">
      <w:pPr>
        <w:rPr>
          <w:lang w:val="sr-Cyrl-CS"/>
        </w:rPr>
      </w:pPr>
    </w:p>
    <w:p w:rsidR="0074571D" w:rsidRPr="0074571D" w:rsidRDefault="0074571D" w:rsidP="007457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4571D">
        <w:rPr>
          <w:rFonts w:ascii="Times New Roman" w:eastAsia="Times New Roman" w:hAnsi="Times New Roman"/>
          <w:sz w:val="24"/>
          <w:szCs w:val="24"/>
        </w:rPr>
        <w:t xml:space="preserve">Пре преласка на рад по утврђеном дневном реду,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без примедби</w:t>
      </w:r>
      <w:r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 w:rsidR="009E2E18" w:rsidRPr="0074571D">
        <w:rPr>
          <w:rFonts w:ascii="Times New Roman" w:eastAsia="Times New Roman" w:hAnsi="Times New Roman"/>
          <w:sz w:val="24"/>
          <w:szCs w:val="24"/>
        </w:rPr>
        <w:t>је</w:t>
      </w:r>
      <w:r w:rsidR="009E2E1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E2E18" w:rsidRPr="0074571D">
        <w:rPr>
          <w:rFonts w:ascii="Times New Roman" w:eastAsia="Times New Roman" w:hAnsi="Times New Roman"/>
          <w:sz w:val="24"/>
          <w:szCs w:val="24"/>
        </w:rPr>
        <w:t xml:space="preserve">усвојен </w:t>
      </w:r>
      <w:r w:rsidRPr="0074571D">
        <w:rPr>
          <w:rFonts w:ascii="Times New Roman" w:eastAsia="Times New Roman" w:hAnsi="Times New Roman"/>
          <w:sz w:val="24"/>
          <w:szCs w:val="24"/>
        </w:rPr>
        <w:t xml:space="preserve">Записник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прве </w:t>
      </w:r>
      <w:r w:rsidRPr="0074571D">
        <w:rPr>
          <w:rFonts w:ascii="Times New Roman" w:eastAsia="Times New Roman" w:hAnsi="Times New Roman"/>
          <w:sz w:val="24"/>
          <w:szCs w:val="24"/>
        </w:rPr>
        <w:t>седнице Одбора</w:t>
      </w:r>
      <w:r>
        <w:rPr>
          <w:rFonts w:ascii="Times New Roman" w:eastAsia="Times New Roman" w:hAnsi="Times New Roman"/>
          <w:sz w:val="24"/>
          <w:szCs w:val="24"/>
        </w:rPr>
        <w:t xml:space="preserve">, одржане 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ап</w:t>
      </w:r>
      <w:r w:rsidRPr="0074571D"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ил</w:t>
      </w:r>
      <w:r w:rsidRPr="0074571D">
        <w:rPr>
          <w:rFonts w:ascii="Times New Roman" w:eastAsia="Times New Roman" w:hAnsi="Times New Roman"/>
          <w:sz w:val="24"/>
          <w:szCs w:val="24"/>
        </w:rPr>
        <w:t>а</w:t>
      </w:r>
      <w:proofErr w:type="gramEnd"/>
      <w:r w:rsidRPr="0074571D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4571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4571D">
        <w:rPr>
          <w:rFonts w:ascii="Times New Roman" w:eastAsia="Times New Roman" w:hAnsi="Times New Roman"/>
          <w:sz w:val="24"/>
          <w:szCs w:val="24"/>
        </w:rPr>
        <w:t>године</w:t>
      </w:r>
      <w:proofErr w:type="gramEnd"/>
      <w:r w:rsidRPr="0074571D">
        <w:rPr>
          <w:rFonts w:ascii="Times New Roman" w:eastAsia="Times New Roman" w:hAnsi="Times New Roman"/>
          <w:sz w:val="24"/>
          <w:szCs w:val="24"/>
        </w:rPr>
        <w:t>.</w:t>
      </w:r>
    </w:p>
    <w:p w:rsidR="0074571D" w:rsidRDefault="0074571D" w:rsidP="0074571D">
      <w:pPr>
        <w:ind w:left="720"/>
        <w:rPr>
          <w:lang w:val="sr-Cyrl-CS"/>
        </w:rPr>
      </w:pPr>
    </w:p>
    <w:p w:rsidR="00387217" w:rsidRPr="00387217" w:rsidRDefault="00387217" w:rsidP="0038721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>Пре преласка на рад по утврђеном дневном реду, председник Одбора је на основу члана 76. Пословника Народне скупштине, предложио да се води з</w:t>
      </w:r>
      <w:r>
        <w:rPr>
          <w:rFonts w:ascii="Times New Roman" w:hAnsi="Times New Roman" w:cs="Times New Roman"/>
          <w:sz w:val="24"/>
          <w:szCs w:val="24"/>
          <w:lang w:val="sr-Cyrl-RS"/>
        </w:rPr>
        <w:t>аједнички начелни претрес о четири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тач</w:t>
      </w:r>
      <w:r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дневног реда. Одбор је, већином гласова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 против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), одлучио да прихвати предлог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председника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за спајање расправе.</w:t>
      </w:r>
    </w:p>
    <w:p w:rsidR="00387217" w:rsidRPr="00387217" w:rsidRDefault="00387217" w:rsidP="00387217">
      <w:pPr>
        <w:jc w:val="both"/>
        <w:rPr>
          <w:rFonts w:ascii="Times New Roman" w:hAnsi="Times New Roman" w:cs="Times New Roman"/>
          <w:lang w:val="sr-Cyrl-CS"/>
        </w:rPr>
      </w:pPr>
      <w:r w:rsidRPr="003872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>Заједнички начелни претрес о свим тачкама дневног реда: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Предлога закона о потврђивању Минамата конвенције о живи, који је поднела Влада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Предлога закона о процени утицаја на животну средину, који је поднела Влада, у начелу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Предлога закона 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стратешкој процени утицаја на животну средину, који је поднела Влада, у начелу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Предлога закона 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>контроли опасности од великих удеса који укључују опасне супстанце, који је поднела Влада, у начелу</w:t>
      </w:r>
    </w:p>
    <w:p w:rsidR="00636275" w:rsidRDefault="00387217" w:rsidP="006362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Уводне напомене је изнела Сандра Докић, државна секретарка.</w:t>
      </w:r>
      <w:r w:rsidR="0063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7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стакла је </w:t>
      </w:r>
      <w:r w:rsidR="00222681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(осим </w:t>
      </w:r>
      <w:r w:rsidR="00775003" w:rsidRPr="0044562B">
        <w:rPr>
          <w:rFonts w:ascii="Times New Roman" w:hAnsi="Times New Roman" w:cs="Times New Roman"/>
          <w:sz w:val="24"/>
          <w:szCs w:val="24"/>
          <w:lang w:val="sr-Cyrl-RS"/>
        </w:rPr>
        <w:t>Минамата конвенције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75003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 xml:space="preserve">три предлога закона 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>у највећој мери односе на усклађивање са стандардима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са директивама Европске уније, док се 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>Предлог з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акона о потврђивању Минамата конвенције о живи односи на закон којим се потврђује конвенција Уједињених нација, али је и она повезана са стандардима Европске уније. </w:t>
      </w:r>
    </w:p>
    <w:p w:rsidR="002217F7" w:rsidRDefault="002217F7" w:rsidP="006362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17F7" w:rsidRPr="0044562B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Истакла је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циљ доношења </w:t>
      </w:r>
      <w:r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>Закона о стратешкој процени утицаја на животну средину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3F16">
        <w:rPr>
          <w:rFonts w:ascii="Times New Roman" w:hAnsi="Times New Roman" w:cs="Times New Roman"/>
          <w:sz w:val="24"/>
          <w:szCs w:val="24"/>
          <w:lang w:val="sr-Cyrl-RS"/>
        </w:rPr>
        <w:t>већ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и ниво заштите животне средине у процесу како израде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тако и имплементације планова и програма, као и дости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зање што већег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степен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усаглашености закона са Директивом 2001/442 Европске уније. Усаглашавање се првенствено односи на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хијерархијски оквир, усклађеност с осталим плановима и програмима, избегавање двоструке процене, ниво и обим извештаја о стратешкој процени, као и</w:t>
      </w:r>
      <w:r w:rsidRPr="0044562B">
        <w:rPr>
          <w:rFonts w:ascii="Times New Roman" w:hAnsi="Times New Roman" w:cs="Times New Roman"/>
          <w:sz w:val="24"/>
          <w:szCs w:val="24"/>
        </w:rPr>
        <w:t xml:space="preserve">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на потребу усаглашава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ња са Законом о заштити природе.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413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се односи и 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увођење стручне комисије за оцену извештаја о стратешкој процени утицаја на животну средину, јасније дефинисање поступка спровођења јавне расправе и обавештавање јавности о нацрту плана и програма и Извештају о стратешкој процени утицаја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и увођење централне базе података и централног веб портала, преко којег ће органи надлежни за припрему планова и програма обавештавати заинтересоване органе и организације и јавност о покренутим поступцима стратешке процене утицаја.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то да је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2021. године усвојила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 о заштити природе,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усклађ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вање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одред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са т</w:t>
      </w:r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а постоји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обавеза увођења стручне комисије.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Ј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асно је дефинисан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и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поступак јавне расправе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као и начин обавештава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ња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јавност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.</w:t>
      </w:r>
    </w:p>
    <w:p w:rsidR="002217F7" w:rsidRPr="0044562B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С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кренула је пажњу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на то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да овај Предлог закона садржи пет поглавља и два прилога,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који су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 w:rsidR="00413F16">
        <w:rPr>
          <w:rFonts w:ascii="Times New Roman" w:hAnsi="Times New Roman" w:cs="Times New Roman"/>
          <w:kern w:val="24"/>
          <w:sz w:val="24"/>
          <w:szCs w:val="24"/>
          <w:lang w:val="sr-Cyrl-RS"/>
        </w:rPr>
        <w:t>важан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саставни део.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П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рви прилог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се 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бави критеријумима за утврђивање могућих значајних непосредних и посредн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их утицаја на животну средину, н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а основу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кој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их се доноси одлука о потреби израде стратешке процене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одређују се пита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ња, проблеми и битни подаци које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извештај мора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да садрж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и. У другом прилогу се налазе критеријуми за оцену извештаја о стратешкој процени, на основу којих се даје сагласност на извештај о стратешкој процени. Приликом доношења просторних и урбанистичких планова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потребно је да се спроведе процена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тога на који начин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ће ти просторни планови, стратегије и програми имати утицај на животну средину приликом њихове имплементације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. У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складу са Дир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ективом, постоје одређени изузе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ци када се не ради стратешка процена утицаја,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нпр. кад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се ради о плановима и програмима намење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ним за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lastRenderedPageBreak/>
        <w:t>одбрану земље, ублажавањ</w:t>
      </w:r>
      <w:r w:rsidR="00413F16">
        <w:rPr>
          <w:rFonts w:ascii="Times New Roman" w:hAnsi="Times New Roman" w:cs="Times New Roman"/>
          <w:kern w:val="24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и отклањањ</w:t>
      </w:r>
      <w:r w:rsidR="00413F16">
        <w:rPr>
          <w:rFonts w:ascii="Times New Roman" w:hAnsi="Times New Roman" w:cs="Times New Roman"/>
          <w:kern w:val="24"/>
          <w:sz w:val="24"/>
          <w:szCs w:val="24"/>
          <w:lang w:val="sr-Cyrl-RS"/>
        </w:rPr>
        <w:t>е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последица елементарне непогоде, финансијским и буџетским плановима, плановима развоја и инвестиционим плановима који се доносе на основу планског система. Када се ради стратешка процена утицаја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новина је да се уз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а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у обзир и оцена прихватљивости за еколошку мрежу.     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562B">
        <w:rPr>
          <w:rFonts w:ascii="Times New Roman" w:hAnsi="Times New Roman" w:cs="Times New Roman"/>
          <w:sz w:val="24"/>
          <w:szCs w:val="24"/>
          <w:lang w:val="sr-Cyrl-RS"/>
        </w:rPr>
        <w:t>Говорећи о самом поступку стратешке процене утицаја, истакла да сви планови и програми за које постоји могућност да њихова примена изазове значајне негативне последице по животну средину, из различитих области, захтевају да имају стратешку процену, као и они којима се успоставља оквир за одобравање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и планови и програми који подлежу оцени прихватљивости за еколошку мрежу. Одлука да се не спроводи стратешка процена може да се донесе ако је предвиђено плановима и програмима коришћење мањих површина на локалном нивоу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или у случају мањих измена. </w:t>
      </w:r>
    </w:p>
    <w:p w:rsidR="002217F7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Нагласи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ла је да у оквиру стратешке процене утицаја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 одређене фазе поступка: припремна, извештај о стратешкој процени и поступак одлучивања о извештају.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припремној фази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најзначајније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одлуке о спровођењу поступка стратешке процене и обавештавање јавности. Одлуку доноси орган надлежан на републичком, покрајинском или локалном нивоу.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акође,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обавезно се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укључује одлука органа која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односи н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>а претходну оцену прихватљивости. За одлуку да се не спроводи стратешка процена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потребно је имати сагласност надлежног органа за заштиту животне средине. Предвиђен је и начин избора израђивача извештаја о стратешкој процени као и начин на који ће заинтересовани органи и организације учеств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овати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у одлучивању о спровођењу поступка стратешке процене утицаја. Орган који припрема план и програм је дужан да од органа надлежног за послове заштите животне средине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као и од заинтересованих органа и организација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затражи мишљење.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звештај о стратешкој процени</w:t>
      </w:r>
      <w:r w:rsidRPr="0044562B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4"/>
          <w:szCs w:val="24"/>
          <w:lang w:val="sr-Cyrl-RS"/>
        </w:rPr>
        <w:t xml:space="preserve">, 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који чини другу фазу,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је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сте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документ којим се утврђују, описују, вреднују и 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процењују значајни утицаји 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чиниоце животне средине до којих може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да дође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спровођењем плана и програма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и 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одређују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се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мере 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за спречавање и смањење процењених негативних утицаја на животну средину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Нови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на 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је да извештај о стратешкој процени треба да садржи 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главну оцену прихватљивости 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нетехнички резиме. Нетехнички резиме 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садржи преглед информација и најва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жниј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их резултата извештаја о стратешкој процени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на начин разумљив јавности. </w:t>
      </w:r>
      <w:r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Извештај о стратешкој процени садржи: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п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олазне основе 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>стратешке процене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опште и посебне циљеве 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>и избор индикатора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п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</w:rPr>
        <w:t>редлог мера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Pr="00757062">
        <w:rPr>
          <w:rFonts w:ascii="Times New Roman" w:hAnsi="Times New Roman" w:cs="Times New Roman"/>
          <w:kern w:val="24"/>
          <w:sz w:val="24"/>
          <w:szCs w:val="24"/>
        </w:rPr>
        <w:t>предвиђених за спречавање и смањење</w:t>
      </w:r>
      <w:r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 w:rsidRPr="00757062">
        <w:rPr>
          <w:rFonts w:ascii="Times New Roman" w:hAnsi="Times New Roman" w:cs="Times New Roman"/>
          <w:kern w:val="24"/>
          <w:sz w:val="24"/>
          <w:szCs w:val="24"/>
        </w:rPr>
        <w:t>процењених негативних утицаја на животну средину</w:t>
      </w:r>
      <w:r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смернице 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>за ниже хијерархијске нивое</w:t>
      </w:r>
      <w:r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програм праћења стања животне средине</w:t>
      </w:r>
      <w:r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у </w:t>
      </w:r>
      <w:r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току спровођења плана и програма и </w:t>
      </w:r>
      <w:r w:rsidRPr="00757062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нетехнички резиме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="00413F16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Назначила је да је у поступку одлучивања неопходно да се достави извештај о стратешкој процени, да се 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образује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комисија и обезбеди мишљење, и </w:t>
      </w:r>
      <w:r w:rsidR="00413F16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да се 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уз извештај 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обавезно достави нацрт плана и 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програма. Значајна новина је да се тражи мишљење и од органа надлежног за спровођење поступка оцене прихватљивости, и да је за добијање мишљења потребно да орган надлежан за припрему плана и програма достави и нацрт плана и програма. Када орган добије захтев за давање мишљења на извештај, тада образује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стручну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комисију, кој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а се састоји од запослених и постављених лица и независних стручњака који морају да испуњавају одређене квалификције. Начин избора и р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ада стручне комисије прописује М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инистарс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т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во. Када стручна комисија размотри и оцени извештај о стратешкој процени утицаја, та оцена постаје саставни део мишљења 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lastRenderedPageBreak/>
        <w:t>органа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надлежног за послове заштите ж</w:t>
      </w:r>
      <w:r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ивотне средине. </w:t>
      </w:r>
      <w:r w:rsidRPr="003E2294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Н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а основу оцене 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извештаја о стратешкој процени</w:t>
      </w:r>
      <w:r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орган надлежан за послове заштите животне средине </w:t>
      </w:r>
      <w:r w:rsidRPr="003E2294">
        <w:rPr>
          <w:rFonts w:ascii="Times New Roman" w:eastAsia="Calibri" w:hAnsi="Times New Roman" w:cs="Times New Roman"/>
          <w:bCs/>
          <w:kern w:val="24"/>
          <w:sz w:val="24"/>
          <w:szCs w:val="24"/>
        </w:rPr>
        <w:t>даје</w:t>
      </w:r>
      <w:r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сагласност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или одбија да да </w:t>
      </w:r>
      <w:r w:rsidRPr="003E2294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сагласност 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на 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наведени 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</w:rPr>
        <w:t>извештај</w:t>
      </w:r>
      <w:r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А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>ко на основу спроведене оцене прихватљивости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>надлежн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и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орган утврди да план и програм </w:t>
      </w:r>
      <w:r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може имати значајан негативан утицај 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на циљеве очувања и целовитост </w:t>
      </w:r>
      <w:r w:rsidRPr="003E2294">
        <w:rPr>
          <w:rFonts w:ascii="Times New Roman" w:eastAsiaTheme="minorEastAsia" w:hAnsi="Times New Roman" w:cs="Times New Roman"/>
          <w:strike/>
          <w:kern w:val="24"/>
          <w:sz w:val="24"/>
          <w:szCs w:val="24"/>
          <w:lang w:val="sr-Cyrl-RS"/>
        </w:rPr>
        <w:t>е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колошке мреже</w:t>
      </w:r>
      <w:r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, </w:t>
      </w:r>
      <w:r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дужан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је</w:t>
      </w:r>
      <w:r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да одбије захтев за давање сагласности на извештај о стратешкој процени.</w:t>
      </w:r>
      <w:r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стакла је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као</w:t>
      </w:r>
      <w:r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значајно и то да све стратешке процене које се раде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морају да узму у обзир и климу, климатске промене и нарочито начин на који ћемо се прилагодити променама које настају.</w:t>
      </w:r>
    </w:p>
    <w:p w:rsidR="002217F7" w:rsidRPr="003E2294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</w:pPr>
    </w:p>
    <w:p w:rsidR="002217F7" w:rsidRDefault="002217F7" w:rsidP="002217F7">
      <w:pPr>
        <w:pStyle w:val="NormalWeb"/>
        <w:spacing w:before="0" w:beforeAutospacing="0" w:after="0" w:afterAutospacing="0" w:line="276" w:lineRule="auto"/>
        <w:ind w:firstLine="533"/>
        <w:jc w:val="both"/>
        <w:rPr>
          <w:rFonts w:eastAsia="Calibri"/>
          <w:kern w:val="24"/>
          <w:lang w:val="sr-Cyrl-RS"/>
        </w:rPr>
      </w:pPr>
      <w:r>
        <w:rPr>
          <w:color w:val="000000"/>
          <w:kern w:val="24"/>
          <w:lang w:val="sr-Cyrl-RS"/>
        </w:rPr>
        <w:t>У наставку,</w:t>
      </w:r>
      <w:r w:rsidRPr="0044562B">
        <w:rPr>
          <w:color w:val="000000"/>
          <w:kern w:val="24"/>
          <w:lang w:val="sr-Cyrl-RS"/>
        </w:rPr>
        <w:t xml:space="preserve"> образлажући </w:t>
      </w:r>
      <w:r w:rsidRPr="00FB133A">
        <w:rPr>
          <w:b/>
          <w:color w:val="000000"/>
          <w:kern w:val="24"/>
          <w:lang w:val="sr-Cyrl-RS"/>
        </w:rPr>
        <w:t>Предлог закона о процени утицаја на животну средину</w:t>
      </w:r>
      <w:r w:rsidRPr="0044562B">
        <w:rPr>
          <w:color w:val="000000"/>
          <w:kern w:val="24"/>
          <w:lang w:val="sr-Cyrl-RS"/>
        </w:rPr>
        <w:t xml:space="preserve">, истакла је да је примарни циљ његовог усвајања </w:t>
      </w:r>
      <w:r>
        <w:rPr>
          <w:color w:val="000000"/>
          <w:kern w:val="24"/>
          <w:lang w:val="sr-Cyrl-RS"/>
        </w:rPr>
        <w:t xml:space="preserve">тај да </w:t>
      </w:r>
      <w:r w:rsidRPr="0044562B">
        <w:rPr>
          <w:color w:val="000000"/>
          <w:kern w:val="24"/>
          <w:lang w:val="sr-Cyrl-RS"/>
        </w:rPr>
        <w:t>се постигне што већа усаглашеност са стандардима Европске уније, нарочито када се спроводе јавни</w:t>
      </w:r>
      <w:r>
        <w:rPr>
          <w:color w:val="000000"/>
          <w:kern w:val="24"/>
          <w:lang w:val="sr-Cyrl-RS"/>
        </w:rPr>
        <w:t>,</w:t>
      </w:r>
      <w:r w:rsidRPr="0044562B">
        <w:rPr>
          <w:color w:val="000000"/>
          <w:kern w:val="24"/>
          <w:lang w:val="sr-Cyrl-RS"/>
        </w:rPr>
        <w:t xml:space="preserve"> или приватни пројекти. </w:t>
      </w:r>
      <w:r>
        <w:rPr>
          <w:color w:val="000000"/>
          <w:kern w:val="24"/>
          <w:lang w:val="sr-Cyrl-RS"/>
        </w:rPr>
        <w:t>Иако овај закон</w:t>
      </w:r>
      <w:r w:rsidRPr="0044562B">
        <w:rPr>
          <w:color w:val="000000"/>
          <w:kern w:val="24"/>
          <w:lang w:val="sr-Cyrl-RS"/>
        </w:rPr>
        <w:t xml:space="preserve"> већ постоји од 2004. године, због великих измена и усклађивања је неопходно да се донесе потпуно нови закон.</w:t>
      </w:r>
      <w:r>
        <w:rPr>
          <w:color w:val="000000"/>
          <w:kern w:val="24"/>
          <w:lang w:val="sr-Cyrl-RS"/>
        </w:rPr>
        <w:t xml:space="preserve"> </w:t>
      </w:r>
      <w:r w:rsidRPr="0044562B">
        <w:rPr>
          <w:color w:val="000000"/>
          <w:kern w:val="24"/>
          <w:lang w:val="sr-Cyrl-RS"/>
        </w:rPr>
        <w:t xml:space="preserve">Поред усклађивања са Директивом, </w:t>
      </w:r>
      <w:r>
        <w:rPr>
          <w:color w:val="000000"/>
          <w:kern w:val="24"/>
          <w:lang w:val="sr-Cyrl-RS"/>
        </w:rPr>
        <w:t>неопходно је</w:t>
      </w:r>
      <w:r w:rsidRPr="0044562B">
        <w:rPr>
          <w:color w:val="000000"/>
          <w:kern w:val="24"/>
          <w:lang w:val="sr-Cyrl-RS"/>
        </w:rPr>
        <w:t xml:space="preserve"> да се усагласи са другим прописима из области заштите животне средине</w:t>
      </w:r>
      <w:r>
        <w:rPr>
          <w:color w:val="000000"/>
          <w:kern w:val="24"/>
          <w:lang w:val="sr-Cyrl-RS"/>
        </w:rPr>
        <w:t>,</w:t>
      </w:r>
      <w:r w:rsidRPr="0044562B">
        <w:rPr>
          <w:color w:val="000000"/>
          <w:kern w:val="24"/>
          <w:lang w:val="sr-Cyrl-RS"/>
        </w:rPr>
        <w:t xml:space="preserve"> као и са прописима који регулишу област планирања и изградње, области које се односе на геолошка истраживања и експлоатацију минералних</w:t>
      </w:r>
      <w:r>
        <w:rPr>
          <w:color w:val="000000"/>
          <w:kern w:val="24"/>
          <w:lang w:val="sr-Cyrl-RS"/>
        </w:rPr>
        <w:t xml:space="preserve"> руда</w:t>
      </w:r>
      <w:r w:rsidRPr="0044562B">
        <w:rPr>
          <w:kern w:val="24"/>
          <w:lang w:val="sr-Cyrl-RS"/>
        </w:rPr>
        <w:t xml:space="preserve"> када се ради стратешка процена утицаја</w:t>
      </w:r>
      <w:r w:rsidRPr="0044562B">
        <w:rPr>
          <w:color w:val="000000"/>
          <w:kern w:val="24"/>
          <w:lang w:val="sr-Cyrl-RS"/>
        </w:rPr>
        <w:t xml:space="preserve"> ресурса.</w:t>
      </w:r>
      <w:r>
        <w:rPr>
          <w:color w:val="000000"/>
          <w:kern w:val="24"/>
          <w:lang w:val="sr-Cyrl-RS"/>
        </w:rPr>
        <w:t xml:space="preserve"> М</w:t>
      </w:r>
      <w:r w:rsidRPr="0044562B">
        <w:rPr>
          <w:color w:val="000000"/>
          <w:kern w:val="24"/>
          <w:lang w:val="sr-Cyrl-RS"/>
        </w:rPr>
        <w:t>еханизам за кординацију различитих поступака процене утицаја и продужавање временског рока јавног увида у Студију о процени утицаја</w:t>
      </w:r>
      <w:r>
        <w:rPr>
          <w:color w:val="000000"/>
          <w:kern w:val="24"/>
          <w:lang w:val="sr-Cyrl-RS"/>
        </w:rPr>
        <w:t xml:space="preserve"> је област у којој се тежило да се постигне потпуно усклађивање</w:t>
      </w:r>
      <w:r w:rsidRPr="0044562B">
        <w:rPr>
          <w:color w:val="000000"/>
          <w:kern w:val="24"/>
          <w:lang w:val="sr-Cyrl-RS"/>
        </w:rPr>
        <w:t xml:space="preserve">. </w:t>
      </w:r>
      <w:r w:rsidRPr="0044562B">
        <w:rPr>
          <w:rFonts w:eastAsia="Calibri"/>
          <w:kern w:val="24"/>
          <w:lang w:val="sr-Cyrl-RS"/>
        </w:rPr>
        <w:t>Н</w:t>
      </w:r>
      <w:r w:rsidRPr="0044562B">
        <w:rPr>
          <w:rFonts w:eastAsia="Calibri"/>
          <w:kern w:val="24"/>
        </w:rPr>
        <w:t>адлежни орган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</w:rPr>
        <w:t xml:space="preserve">доноси одлуку о давању </w:t>
      </w:r>
      <w:r w:rsidRPr="0044562B">
        <w:rPr>
          <w:rFonts w:eastAsia="Calibri"/>
          <w:bCs/>
          <w:kern w:val="24"/>
        </w:rPr>
        <w:t>сагласности</w:t>
      </w:r>
      <w:r w:rsidRPr="0044562B">
        <w:rPr>
          <w:rFonts w:eastAsia="Calibri"/>
          <w:kern w:val="24"/>
        </w:rPr>
        <w:t xml:space="preserve"> на </w:t>
      </w:r>
      <w:r w:rsidRPr="0044562B">
        <w:rPr>
          <w:rFonts w:eastAsia="Calibri"/>
          <w:kern w:val="24"/>
          <w:lang w:val="sr-Cyrl-RS"/>
        </w:rPr>
        <w:t>с</w:t>
      </w:r>
      <w:r w:rsidRPr="0044562B">
        <w:rPr>
          <w:rFonts w:eastAsia="Calibri"/>
          <w:kern w:val="24"/>
        </w:rPr>
        <w:t>тудију о процени утицаја пројекта</w:t>
      </w:r>
      <w:r>
        <w:rPr>
          <w:rFonts w:eastAsia="Calibri"/>
          <w:kern w:val="24"/>
          <w:lang w:val="sr-Cyrl-RS"/>
        </w:rPr>
        <w:t>,</w:t>
      </w:r>
      <w:r w:rsidRPr="0044562B">
        <w:rPr>
          <w:rFonts w:eastAsia="Calibri"/>
          <w:kern w:val="24"/>
        </w:rPr>
        <w:t xml:space="preserve"> или о </w:t>
      </w:r>
      <w:r w:rsidRPr="0044562B">
        <w:rPr>
          <w:rFonts w:eastAsia="Calibri"/>
          <w:bCs/>
          <w:kern w:val="24"/>
        </w:rPr>
        <w:t>одбијању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</w:rPr>
        <w:t xml:space="preserve">захтева за давање сагласности на студију, </w:t>
      </w:r>
      <w:r w:rsidRPr="0044562B">
        <w:rPr>
          <w:rFonts w:eastAsia="Calibri"/>
          <w:bCs/>
          <w:kern w:val="24"/>
        </w:rPr>
        <w:t>на основу спроведеног поступка</w:t>
      </w:r>
      <w:r w:rsidRPr="0044562B">
        <w:rPr>
          <w:rFonts w:eastAsia="Calibri"/>
          <w:bCs/>
          <w:kern w:val="24"/>
          <w:lang w:val="sr-Cyrl-RS"/>
        </w:rPr>
        <w:t xml:space="preserve"> јавних и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bCs/>
          <w:kern w:val="24"/>
          <w:lang w:val="sr-Cyrl-RS"/>
        </w:rPr>
        <w:t xml:space="preserve">прекограничних консултација </w:t>
      </w:r>
      <w:r w:rsidR="00C72390">
        <w:rPr>
          <w:rFonts w:eastAsia="Calibri"/>
          <w:bCs/>
          <w:kern w:val="24"/>
          <w:lang w:val="sr-Cyrl-RS"/>
        </w:rPr>
        <w:t>(</w:t>
      </w:r>
      <w:r w:rsidRPr="0044562B">
        <w:rPr>
          <w:rFonts w:eastAsia="Calibri"/>
          <w:kern w:val="24"/>
          <w:lang w:val="sr-Cyrl-RS"/>
        </w:rPr>
        <w:t>ако су спроведене</w:t>
      </w:r>
      <w:r w:rsidR="00C72390">
        <w:rPr>
          <w:rFonts w:eastAsia="Calibri"/>
          <w:kern w:val="24"/>
          <w:lang w:val="sr-Cyrl-RS"/>
        </w:rPr>
        <w:t>)</w:t>
      </w:r>
      <w:r w:rsidRPr="0044562B">
        <w:rPr>
          <w:rFonts w:eastAsia="Calibri"/>
          <w:kern w:val="24"/>
          <w:lang w:val="sr-Cyrl-RS"/>
        </w:rPr>
        <w:t xml:space="preserve">, </w:t>
      </w:r>
      <w:r w:rsidRPr="0044562B">
        <w:rPr>
          <w:rFonts w:eastAsia="Calibri"/>
          <w:kern w:val="24"/>
        </w:rPr>
        <w:t xml:space="preserve">и </w:t>
      </w:r>
      <w:r w:rsidRPr="0044562B">
        <w:rPr>
          <w:rFonts w:eastAsia="Calibri"/>
          <w:bCs/>
          <w:kern w:val="24"/>
        </w:rPr>
        <w:t>извештаја техничке комисије</w:t>
      </w:r>
      <w:r>
        <w:rPr>
          <w:rFonts w:eastAsia="Calibri"/>
          <w:bCs/>
          <w:kern w:val="24"/>
          <w:lang w:val="sr-Cyrl-RS"/>
        </w:rPr>
        <w:t>,</w:t>
      </w:r>
      <w:r w:rsidRPr="0044562B">
        <w:rPr>
          <w:rFonts w:eastAsia="Calibri"/>
          <w:bCs/>
          <w:kern w:val="24"/>
        </w:rPr>
        <w:t xml:space="preserve"> </w:t>
      </w:r>
      <w:r w:rsidRPr="0044562B">
        <w:rPr>
          <w:rFonts w:eastAsia="Calibri"/>
          <w:kern w:val="24"/>
          <w:lang w:val="sr-Cyrl-RS"/>
        </w:rPr>
        <w:t xml:space="preserve">чиме је формализован поступак и доноси се свеобухватни документ. </w:t>
      </w:r>
    </w:p>
    <w:p w:rsidR="002217F7" w:rsidRPr="0044562B" w:rsidRDefault="002217F7" w:rsidP="002217F7">
      <w:pPr>
        <w:pStyle w:val="NormalWeb"/>
        <w:spacing w:before="0" w:beforeAutospacing="0" w:after="0" w:afterAutospacing="0" w:line="276" w:lineRule="auto"/>
        <w:ind w:firstLine="533"/>
        <w:jc w:val="both"/>
        <w:rPr>
          <w:color w:val="000000"/>
          <w:kern w:val="24"/>
          <w:lang w:val="sr-Cyrl-RS"/>
        </w:rPr>
      </w:pPr>
      <w:r w:rsidRPr="0044562B">
        <w:rPr>
          <w:rFonts w:eastAsia="Calibri"/>
          <w:bCs/>
          <w:kern w:val="24"/>
          <w:lang w:val="sr-Cyrl-RS"/>
        </w:rPr>
        <w:t>Истакла је да</w:t>
      </w:r>
      <w:r>
        <w:rPr>
          <w:rFonts w:eastAsia="Calibri"/>
          <w:bCs/>
          <w:kern w:val="24"/>
          <w:lang w:val="sr-Cyrl-RS"/>
        </w:rPr>
        <w:t xml:space="preserve"> је</w:t>
      </w:r>
      <w:r w:rsidRPr="0044562B">
        <w:rPr>
          <w:rFonts w:eastAsia="Calibri"/>
          <w:bCs/>
          <w:kern w:val="24"/>
          <w:lang w:val="sr-Cyrl-RS"/>
        </w:rPr>
        <w:t xml:space="preserve"> примен</w:t>
      </w:r>
      <w:r>
        <w:rPr>
          <w:rFonts w:eastAsia="Calibri"/>
          <w:bCs/>
          <w:kern w:val="24"/>
          <w:lang w:val="sr-Cyrl-RS"/>
        </w:rPr>
        <w:t>а</w:t>
      </w:r>
      <w:r w:rsidRPr="0044562B">
        <w:rPr>
          <w:rFonts w:eastAsia="Calibri"/>
          <w:bCs/>
          <w:kern w:val="24"/>
          <w:lang w:val="sr-Cyrl-RS"/>
        </w:rPr>
        <w:t xml:space="preserve"> овог закона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bCs/>
          <w:kern w:val="24"/>
          <w:lang w:val="sr-Cyrl-RS"/>
        </w:rPr>
        <w:t xml:space="preserve">у пракси </w:t>
      </w:r>
      <w:r>
        <w:rPr>
          <w:rFonts w:eastAsia="Calibri"/>
          <w:bCs/>
          <w:kern w:val="24"/>
          <w:lang w:val="sr-Cyrl-RS"/>
        </w:rPr>
        <w:t>довела до</w:t>
      </w:r>
      <w:r w:rsidRPr="0044562B">
        <w:rPr>
          <w:rFonts w:eastAsia="Calibri"/>
          <w:bCs/>
          <w:kern w:val="24"/>
          <w:lang w:val="sr-Cyrl-RS"/>
        </w:rPr>
        <w:t xml:space="preserve"> одређен</w:t>
      </w:r>
      <w:r>
        <w:rPr>
          <w:rFonts w:eastAsia="Calibri"/>
          <w:bCs/>
          <w:kern w:val="24"/>
          <w:lang w:val="sr-Cyrl-RS"/>
        </w:rPr>
        <w:t>их недоумица</w:t>
      </w:r>
      <w:r w:rsidRPr="0044562B">
        <w:rPr>
          <w:rFonts w:eastAsia="Calibri"/>
          <w:bCs/>
          <w:kern w:val="24"/>
          <w:lang w:val="sr-Cyrl-RS"/>
        </w:rPr>
        <w:t xml:space="preserve">, </w:t>
      </w:r>
      <w:r>
        <w:rPr>
          <w:rFonts w:eastAsia="Calibri"/>
          <w:bCs/>
          <w:kern w:val="24"/>
          <w:lang w:val="sr-Cyrl-RS"/>
        </w:rPr>
        <w:t>па је</w:t>
      </w:r>
      <w:r w:rsidR="00C72390">
        <w:rPr>
          <w:rFonts w:eastAsia="Calibri"/>
          <w:bCs/>
          <w:kern w:val="24"/>
          <w:lang w:val="sr-Cyrl-RS"/>
        </w:rPr>
        <w:t xml:space="preserve"> Предлогом закона</w:t>
      </w:r>
      <w:r>
        <w:rPr>
          <w:rFonts w:eastAsia="Calibri"/>
          <w:bCs/>
          <w:kern w:val="24"/>
          <w:lang w:val="sr-Cyrl-RS"/>
        </w:rPr>
        <w:t xml:space="preserve"> </w:t>
      </w:r>
      <w:r w:rsidRPr="0044562B">
        <w:rPr>
          <w:rFonts w:eastAsia="Calibri"/>
          <w:bCs/>
          <w:kern w:val="24"/>
          <w:lang w:val="sr-Cyrl-RS"/>
        </w:rPr>
        <w:t>између осталог</w:t>
      </w:r>
      <w:r>
        <w:rPr>
          <w:rFonts w:eastAsia="Calibri"/>
          <w:bCs/>
          <w:kern w:val="24"/>
          <w:lang w:val="sr-Cyrl-RS"/>
        </w:rPr>
        <w:t>,</w:t>
      </w:r>
      <w:r w:rsidRPr="0044562B">
        <w:rPr>
          <w:rFonts w:eastAsia="Calibri"/>
          <w:kern w:val="24"/>
          <w:lang w:val="sr-Cyrl-RS"/>
        </w:rPr>
        <w:t xml:space="preserve"> реш</w:t>
      </w:r>
      <w:r>
        <w:rPr>
          <w:rFonts w:eastAsia="Calibri"/>
          <w:kern w:val="24"/>
          <w:lang w:val="sr-Cyrl-RS"/>
        </w:rPr>
        <w:t>ено</w:t>
      </w:r>
      <w:r w:rsidRPr="0044562B">
        <w:rPr>
          <w:rFonts w:eastAsia="Calibri"/>
          <w:kern w:val="24"/>
          <w:lang w:val="sr-Cyrl-RS"/>
        </w:rPr>
        <w:t xml:space="preserve"> и питање кумулативног дејства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  <w:lang w:val="sr-Cyrl-RS"/>
        </w:rPr>
        <w:t>пројекта са другим пројектима које сам носилац пројекта</w:t>
      </w:r>
      <w:r>
        <w:rPr>
          <w:rFonts w:eastAsia="Calibri"/>
          <w:kern w:val="24"/>
          <w:lang w:val="sr-Cyrl-RS"/>
        </w:rPr>
        <w:t>,</w:t>
      </w:r>
      <w:r w:rsidRPr="0044562B">
        <w:rPr>
          <w:rFonts w:eastAsia="Calibri"/>
          <w:kern w:val="24"/>
          <w:lang w:val="sr-Cyrl-RS"/>
        </w:rPr>
        <w:t xml:space="preserve"> ил</w:t>
      </w:r>
      <w:r>
        <w:rPr>
          <w:rFonts w:eastAsia="Calibri"/>
          <w:kern w:val="24"/>
          <w:lang w:val="sr-Cyrl-RS"/>
        </w:rPr>
        <w:t xml:space="preserve">и треће лице планирају да ураде, </w:t>
      </w:r>
      <w:r w:rsidRPr="0044562B">
        <w:rPr>
          <w:rFonts w:eastAsia="Calibri"/>
          <w:kern w:val="24"/>
          <w:lang w:val="sr-Cyrl-RS"/>
        </w:rPr>
        <w:t>јер се дешава</w:t>
      </w:r>
      <w:r>
        <w:rPr>
          <w:rFonts w:eastAsia="Calibri"/>
          <w:kern w:val="24"/>
          <w:lang w:val="sr-Cyrl-RS"/>
        </w:rPr>
        <w:t>ло</w:t>
      </w:r>
      <w:r w:rsidRPr="0044562B">
        <w:rPr>
          <w:rFonts w:eastAsia="Calibri"/>
          <w:kern w:val="24"/>
          <w:lang w:val="sr-Cyrl-RS"/>
        </w:rPr>
        <w:t xml:space="preserve"> да више мањих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  <w:lang w:val="sr-Cyrl-RS"/>
        </w:rPr>
        <w:t>пројеката немају значајно дејство, али да кумулативно могу да изазову значајан утицај на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  <w:lang w:val="sr-Cyrl-RS"/>
        </w:rPr>
        <w:t>животну средину. Уредило се и питање када ће се одбити захтев за давање сагланости на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kern w:val="24"/>
          <w:lang w:val="sr-Cyrl-RS"/>
        </w:rPr>
        <w:t>студију, и то ако надлежни орган на основу спроведеног поступка и извештаја техничке комисије,</w:t>
      </w:r>
      <w:r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утврди</w:t>
      </w:r>
      <w:r w:rsidRPr="0044562B">
        <w:rPr>
          <w:rFonts w:eastAsia="Calibri"/>
          <w:kern w:val="24"/>
          <w:lang w:val="sr-Cyrl-RS"/>
        </w:rPr>
        <w:t xml:space="preserve"> д</w:t>
      </w:r>
      <w:r w:rsidRPr="0044562B">
        <w:rPr>
          <w:rFonts w:eastAsia="Calibri"/>
          <w:color w:val="000000" w:themeColor="text1"/>
          <w:kern w:val="24"/>
        </w:rPr>
        <w:t>а</w:t>
      </w:r>
      <w:r>
        <w:rPr>
          <w:rFonts w:eastAsia="Calibri"/>
          <w:color w:val="000000" w:themeColor="text1"/>
          <w:kern w:val="24"/>
          <w:lang w:val="sr-Cyrl-RS"/>
        </w:rPr>
        <w:t>:</w:t>
      </w:r>
      <w:r w:rsidRPr="0044562B">
        <w:rPr>
          <w:rFonts w:eastAsia="Calibri"/>
          <w:color w:val="000000" w:themeColor="text1"/>
          <w:kern w:val="24"/>
        </w:rPr>
        <w:t xml:space="preserve"> предложене карактеристике пројекта</w:t>
      </w:r>
      <w:r>
        <w:rPr>
          <w:rFonts w:eastAsia="Calibri"/>
          <w:color w:val="000000" w:themeColor="text1"/>
          <w:kern w:val="24"/>
          <w:lang w:val="sr-Cyrl-RS"/>
        </w:rPr>
        <w:t>,</w:t>
      </w:r>
      <w:r w:rsidRPr="0044562B">
        <w:rPr>
          <w:rFonts w:eastAsia="Calibri"/>
          <w:color w:val="000000" w:themeColor="text1"/>
          <w:kern w:val="24"/>
        </w:rPr>
        <w:t xml:space="preserve"> и</w:t>
      </w:r>
      <w:r w:rsidRPr="0044562B">
        <w:rPr>
          <w:rFonts w:eastAsia="Calibri"/>
          <w:color w:val="000000" w:themeColor="text1"/>
          <w:kern w:val="24"/>
          <w:lang w:val="sr-Cyrl-RS"/>
        </w:rPr>
        <w:t>ли</w:t>
      </w:r>
      <w:r w:rsidRPr="0044562B">
        <w:rPr>
          <w:rFonts w:eastAsia="Calibri"/>
          <w:color w:val="000000" w:themeColor="text1"/>
          <w:kern w:val="24"/>
        </w:rPr>
        <w:t xml:space="preserve"> мере 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и услови </w:t>
      </w:r>
      <w:r w:rsidRPr="0044562B">
        <w:rPr>
          <w:rFonts w:eastAsia="Calibri"/>
          <w:bCs/>
          <w:color w:val="000000" w:themeColor="text1"/>
          <w:kern w:val="24"/>
        </w:rPr>
        <w:t>нису</w:t>
      </w:r>
      <w:r w:rsidRPr="0044562B">
        <w:rPr>
          <w:rFonts w:eastAsia="Calibri"/>
          <w:color w:val="000000" w:themeColor="text1"/>
          <w:kern w:val="24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</w:rPr>
        <w:t>подобн</w:t>
      </w:r>
      <w:r w:rsidRPr="0044562B">
        <w:rPr>
          <w:rFonts w:eastAsia="Calibri"/>
          <w:color w:val="000000" w:themeColor="text1"/>
          <w:kern w:val="24"/>
          <w:lang w:val="sr-Cyrl-RS"/>
        </w:rPr>
        <w:t>и</w:t>
      </w:r>
      <w:r w:rsidRPr="0044562B">
        <w:rPr>
          <w:rFonts w:eastAsia="Calibri"/>
          <w:color w:val="000000" w:themeColor="text1"/>
          <w:kern w:val="24"/>
        </w:rPr>
        <w:t xml:space="preserve"> да спрече,</w:t>
      </w:r>
      <w:r w:rsidRPr="0044562B">
        <w:rPr>
          <w:color w:val="000000"/>
          <w:kern w:val="24"/>
          <w:lang w:val="sr-Cyrl-RS"/>
        </w:rPr>
        <w:t xml:space="preserve"> </w:t>
      </w:r>
      <w:r w:rsidRPr="0044562B">
        <w:rPr>
          <w:rFonts w:eastAsia="Calibri"/>
          <w:color w:val="000000" w:themeColor="text1"/>
          <w:kern w:val="24"/>
        </w:rPr>
        <w:t>смање или отклоне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  <w:lang w:val="sr-Cyrl-RS"/>
        </w:rPr>
        <w:t>значајне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  <w:lang w:val="sr-Cyrl-RS"/>
        </w:rPr>
        <w:t>негативне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</w:rPr>
        <w:t>утицаје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пројекта</w:t>
      </w:r>
      <w:r>
        <w:rPr>
          <w:rFonts w:eastAsia="Calibri"/>
          <w:color w:val="000000" w:themeColor="text1"/>
          <w:kern w:val="24"/>
        </w:rPr>
        <w:t xml:space="preserve"> на чиниоце животне средине</w:t>
      </w:r>
      <w:r>
        <w:rPr>
          <w:rFonts w:eastAsia="Calibri"/>
          <w:color w:val="000000" w:themeColor="text1"/>
          <w:kern w:val="24"/>
          <w:lang w:val="sr-Cyrl-RS"/>
        </w:rPr>
        <w:t xml:space="preserve">; </w:t>
      </w:r>
      <w:r w:rsidRPr="0044562B">
        <w:rPr>
          <w:rFonts w:eastAsia="Calibri"/>
          <w:color w:val="000000" w:themeColor="text1"/>
          <w:kern w:val="24"/>
          <w:lang w:val="sr-Cyrl-RS"/>
        </w:rPr>
        <w:t>п</w:t>
      </w:r>
      <w:r w:rsidRPr="0044562B">
        <w:rPr>
          <w:rFonts w:eastAsia="Calibri"/>
          <w:color w:val="000000" w:themeColor="text1"/>
          <w:kern w:val="24"/>
        </w:rPr>
        <w:t>ројекат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</w:rPr>
        <w:t>није</w:t>
      </w:r>
      <w:r w:rsidRPr="0044562B">
        <w:rPr>
          <w:rFonts w:eastAsia="Calibri"/>
          <w:color w:val="000000" w:themeColor="text1"/>
          <w:kern w:val="24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</w:rPr>
        <w:t>усаглашен</w:t>
      </w:r>
      <w:r w:rsidRPr="0044562B">
        <w:rPr>
          <w:rFonts w:eastAsia="Calibri"/>
          <w:color w:val="000000" w:themeColor="text1"/>
          <w:kern w:val="24"/>
        </w:rPr>
        <w:t xml:space="preserve"> са прописаним захтевима заштите животне средине</w:t>
      </w:r>
      <w:r>
        <w:rPr>
          <w:rFonts w:eastAsia="Calibri"/>
          <w:color w:val="000000" w:themeColor="text1"/>
          <w:kern w:val="24"/>
          <w:lang w:val="sr-Cyrl-RS"/>
        </w:rPr>
        <w:t>;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с</w:t>
      </w:r>
      <w:r w:rsidRPr="0044562B">
        <w:rPr>
          <w:rFonts w:eastAsia="Calibri"/>
          <w:color w:val="000000" w:themeColor="text1"/>
          <w:kern w:val="24"/>
        </w:rPr>
        <w:t>провођење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color w:val="000000" w:themeColor="text1"/>
          <w:kern w:val="24"/>
        </w:rPr>
        <w:t>пројект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а би </w:t>
      </w:r>
      <w:r w:rsidRPr="0044562B">
        <w:rPr>
          <w:rFonts w:eastAsia="Calibri"/>
          <w:bCs/>
          <w:color w:val="000000" w:themeColor="text1"/>
          <w:kern w:val="24"/>
        </w:rPr>
        <w:t>спречило</w:t>
      </w:r>
      <w:r>
        <w:rPr>
          <w:rFonts w:eastAsia="Calibri"/>
          <w:bCs/>
          <w:color w:val="000000" w:themeColor="text1"/>
          <w:kern w:val="24"/>
          <w:lang w:val="sr-Cyrl-RS"/>
        </w:rPr>
        <w:t>,</w:t>
      </w:r>
      <w:r w:rsidRPr="0044562B">
        <w:rPr>
          <w:rFonts w:eastAsia="Calibri"/>
          <w:color w:val="000000" w:themeColor="text1"/>
          <w:kern w:val="24"/>
        </w:rPr>
        <w:t xml:space="preserve"> или </w:t>
      </w:r>
      <w:r w:rsidRPr="0044562B">
        <w:rPr>
          <w:rFonts w:eastAsia="Calibri"/>
          <w:bCs/>
          <w:color w:val="000000" w:themeColor="text1"/>
          <w:kern w:val="24"/>
        </w:rPr>
        <w:t>значајно</w:t>
      </w:r>
      <w:r w:rsidRPr="0044562B">
        <w:rPr>
          <w:rFonts w:eastAsia="Calibri"/>
          <w:color w:val="000000" w:themeColor="text1"/>
          <w:kern w:val="24"/>
        </w:rPr>
        <w:t xml:space="preserve"> </w:t>
      </w:r>
      <w:r w:rsidRPr="0044562B">
        <w:rPr>
          <w:rFonts w:eastAsia="Calibri"/>
          <w:bCs/>
          <w:color w:val="000000" w:themeColor="text1"/>
          <w:kern w:val="24"/>
        </w:rPr>
        <w:t>отежало</w:t>
      </w:r>
      <w:r w:rsidRPr="0044562B">
        <w:rPr>
          <w:rFonts w:eastAsia="Calibri"/>
          <w:color w:val="000000" w:themeColor="text1"/>
          <w:kern w:val="24"/>
        </w:rPr>
        <w:t xml:space="preserve"> остваривање циљева заштите животне средине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 w:rsidRPr="0044562B">
        <w:rPr>
          <w:rFonts w:eastAsia="Calibri"/>
          <w:color w:val="000000" w:themeColor="text1"/>
          <w:kern w:val="24"/>
        </w:rPr>
        <w:t>утврђен</w:t>
      </w:r>
      <w:r w:rsidRPr="0044562B">
        <w:rPr>
          <w:rFonts w:eastAsia="Calibri"/>
          <w:color w:val="000000" w:themeColor="text1"/>
          <w:kern w:val="24"/>
          <w:lang w:val="sr-Cyrl-RS"/>
        </w:rPr>
        <w:t xml:space="preserve">их </w:t>
      </w:r>
      <w:r w:rsidRPr="0044562B">
        <w:rPr>
          <w:rFonts w:eastAsia="Calibri"/>
          <w:color w:val="000000" w:themeColor="text1"/>
          <w:kern w:val="24"/>
        </w:rPr>
        <w:t xml:space="preserve">прописима. </w:t>
      </w:r>
      <w:r w:rsidRPr="0044562B">
        <w:rPr>
          <w:rFonts w:eastAsia="Calibri"/>
          <w:kern w:val="24"/>
          <w:lang w:val="ru-RU"/>
        </w:rPr>
        <w:t xml:space="preserve">Формално је повезан поступак процене утицаја на животну средину са </w:t>
      </w:r>
      <w:r w:rsidRPr="0044562B">
        <w:rPr>
          <w:rFonts w:eastAsiaTheme="minorEastAsia"/>
          <w:kern w:val="24"/>
        </w:rPr>
        <w:t>Севесо III</w:t>
      </w:r>
      <w:r w:rsidRPr="0044562B">
        <w:rPr>
          <w:rFonts w:eastAsia="Calibri"/>
          <w:bCs/>
          <w:kern w:val="24"/>
          <w:lang w:val="ru-RU"/>
        </w:rPr>
        <w:t xml:space="preserve"> </w:t>
      </w:r>
      <w:r w:rsidR="00DE1F3B">
        <w:rPr>
          <w:rFonts w:eastAsia="Calibri"/>
          <w:kern w:val="24"/>
          <w:lang w:val="ru-RU"/>
        </w:rPr>
        <w:t>д</w:t>
      </w:r>
      <w:r w:rsidRPr="0044562B">
        <w:rPr>
          <w:rFonts w:eastAsia="Calibri"/>
          <w:kern w:val="24"/>
          <w:lang w:val="ru-RU"/>
        </w:rPr>
        <w:t xml:space="preserve">ирективом, </w:t>
      </w:r>
      <w:r>
        <w:rPr>
          <w:rFonts w:eastAsia="Calibri"/>
          <w:kern w:val="24"/>
          <w:lang w:val="ru-RU"/>
        </w:rPr>
        <w:t xml:space="preserve">а </w:t>
      </w:r>
      <w:r w:rsidRPr="0044562B">
        <w:rPr>
          <w:rFonts w:eastAsia="Calibri"/>
          <w:kern w:val="24"/>
          <w:lang w:val="ru-RU"/>
        </w:rPr>
        <w:t xml:space="preserve">битно је и </w:t>
      </w:r>
      <w:r w:rsidRPr="0044562B">
        <w:rPr>
          <w:rFonts w:eastAsia="Calibri"/>
          <w:bCs/>
          <w:color w:val="000000" w:themeColor="text1"/>
          <w:kern w:val="24"/>
          <w:lang w:val="ru-RU"/>
        </w:rPr>
        <w:t xml:space="preserve">увођење критеријума </w:t>
      </w:r>
      <w:r w:rsidRPr="0044562B">
        <w:rPr>
          <w:rFonts w:eastAsia="Calibri"/>
          <w:color w:val="000000" w:themeColor="text1"/>
          <w:kern w:val="24"/>
          <w:lang w:val="ru-RU"/>
        </w:rPr>
        <w:t xml:space="preserve">на основу којих ће надлежни орган на јасан и транспаретан начин </w:t>
      </w:r>
      <w:r w:rsidRPr="0044562B">
        <w:rPr>
          <w:rFonts w:eastAsia="Calibri"/>
          <w:bCs/>
          <w:color w:val="000000" w:themeColor="text1"/>
          <w:kern w:val="24"/>
          <w:lang w:val="ru-RU"/>
        </w:rPr>
        <w:t>доносити одлуку о изради</w:t>
      </w:r>
      <w:r>
        <w:rPr>
          <w:rFonts w:eastAsia="Calibri"/>
          <w:bCs/>
          <w:color w:val="000000" w:themeColor="text1"/>
          <w:kern w:val="24"/>
          <w:lang w:val="ru-RU"/>
        </w:rPr>
        <w:t>,</w:t>
      </w:r>
      <w:r w:rsidRPr="0044562B">
        <w:rPr>
          <w:rFonts w:eastAsia="Calibri"/>
          <w:bCs/>
          <w:color w:val="000000" w:themeColor="text1"/>
          <w:kern w:val="24"/>
          <w:lang w:val="ru-RU"/>
        </w:rPr>
        <w:t xml:space="preserve"> или неизради студије</w:t>
      </w:r>
      <w:r>
        <w:rPr>
          <w:rFonts w:eastAsia="Calibri"/>
          <w:bCs/>
          <w:color w:val="000000" w:themeColor="text1"/>
          <w:kern w:val="24"/>
          <w:lang w:val="ru-RU"/>
        </w:rPr>
        <w:t>,</w:t>
      </w:r>
      <w:r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 w:rsidRPr="0044562B">
        <w:rPr>
          <w:rFonts w:eastAsia="Calibri"/>
          <w:color w:val="000000" w:themeColor="text1"/>
          <w:kern w:val="24"/>
          <w:lang w:val="ru-RU"/>
        </w:rPr>
        <w:t xml:space="preserve">када се ради о пројектима са </w:t>
      </w:r>
      <w:r w:rsidR="00C72390">
        <w:rPr>
          <w:rFonts w:eastAsia="Calibri"/>
          <w:bCs/>
          <w:color w:val="000000" w:themeColor="text1"/>
          <w:kern w:val="24"/>
          <w:lang w:val="ru-RU"/>
        </w:rPr>
        <w:t>Л</w:t>
      </w:r>
      <w:r w:rsidRPr="0044562B">
        <w:rPr>
          <w:rFonts w:eastAsia="Calibri"/>
          <w:bCs/>
          <w:color w:val="000000" w:themeColor="text1"/>
          <w:kern w:val="24"/>
          <w:lang w:val="ru-RU"/>
        </w:rPr>
        <w:t>исте 2 Уредбе.</w:t>
      </w:r>
      <w:r w:rsidRPr="0044562B">
        <w:rPr>
          <w:rFonts w:eastAsia="Calibri"/>
          <w:color w:val="000000" w:themeColor="text1"/>
          <w:kern w:val="24"/>
          <w:lang w:val="ru-RU"/>
        </w:rPr>
        <w:t xml:space="preserve">  </w:t>
      </w:r>
    </w:p>
    <w:p w:rsidR="002217F7" w:rsidRPr="0044562B" w:rsidRDefault="002217F7" w:rsidP="002217F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</w:pP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Назначила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је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да је дефинисано да сва 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ИППЦ</w:t>
      </w:r>
      <w:r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и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Севесо</w:t>
      </w:r>
      <w:r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постројења буду у надлежности Министарства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или надлежног органа АП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 тим да је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М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инистарство надлежно за све пројекте у </w:t>
      </w:r>
      <w:r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прекограничном</w:t>
      </w:r>
      <w:r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контексту.</w:t>
      </w:r>
      <w:r w:rsidRPr="0044562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Министар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>ст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во 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>ће водити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lastRenderedPageBreak/>
        <w:t xml:space="preserve">централну базу података и централни веб портал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преко којег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ће сви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надлежни органи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бити обавезни да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>обавештава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ју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заинтересоване органе и организације и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заинтересовану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јавност о покренутим поступцима процене утицаја,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праћењ</w:t>
      </w:r>
      <w:r w:rsidR="00C72390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у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>фаза поступка процене утицаја, роковима и начинима достављања мишљења, месту и времену одржавања јавних консултација, прекограничним консултацијама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. Рок за успостављање базе и целог система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је три</w:t>
      </w:r>
      <w:r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године од доношења Закона. Такође,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у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року од две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године од доношења овог закона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,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регулисаће се однос поступка процене утицаја са поступком оцене прихватљивости пројеката за еколошку мрежу.</w:t>
      </w:r>
    </w:p>
    <w:p w:rsidR="002217F7" w:rsidRPr="0044562B" w:rsidRDefault="002217F7" w:rsidP="002217F7">
      <w:pPr>
        <w:spacing w:after="0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</w:pP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Објаснила је да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је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н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осилац пројекта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дужан да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за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пројекат за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који је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обавезна процена утицаја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>и пројек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а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>т за који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постоји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обаве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за подношења захтева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за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одлучивање о потреби процене утицаја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,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приложи сагласност надлежног органа на студију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и студију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о процени утицаја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пројекта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>уз захтев за одобрење за извођење пројекта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или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одлуку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надлежног органа којом се утврђује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да није потребна 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</w:rPr>
        <w:t>процена утицаја пројекта на животну средину</w:t>
      </w:r>
      <w:r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и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то је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саставни део 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документације на основу које се доноси одлука о одобрењу за  извођење пројекта</w:t>
      </w:r>
      <w:r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2217F7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</w:pPr>
      <w:r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Истакла је о</w:t>
      </w:r>
      <w:r w:rsidRPr="00DC22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бавезу</w:t>
      </w:r>
      <w:r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Министарства заштите животне средине да </w:t>
      </w:r>
      <w:r w:rsidRPr="00DC22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изда мишљење </w:t>
      </w:r>
      <w:r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о</w:t>
      </w:r>
      <w:r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потреби покретања поступка процене утицаја </w:t>
      </w:r>
      <w:r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у процедури издавања локацијских услова </w:t>
      </w:r>
      <w:r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у складу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са законом којим се уређуј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у</w:t>
      </w:r>
      <w:r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планирање и изградња. </w:t>
      </w:r>
    </w:p>
    <w:p w:rsidR="002217F7" w:rsidRDefault="002217F7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>Појаснила је поступак за одређивање обима и садржаја студије о потреби процене утицаја на животну средину.</w:t>
      </w:r>
      <w:r w:rsidRPr="0044562B">
        <w:rPr>
          <w:kern w:val="24"/>
          <w:lang w:val="sr-Cyrl-RS"/>
        </w:rPr>
        <w:t xml:space="preserve"> </w:t>
      </w:r>
      <w:r w:rsidRPr="0044562B">
        <w:rPr>
          <w:rFonts w:ascii="Times New Roman" w:hAnsi="Times New Roman" w:cs="Times New Roman"/>
          <w:bCs/>
          <w:kern w:val="24"/>
          <w:sz w:val="24"/>
          <w:szCs w:val="24"/>
        </w:rPr>
        <w:t>Приликом одлучивања о захтеву о потреби процене утицаја</w:t>
      </w:r>
      <w:r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44562B">
        <w:rPr>
          <w:rFonts w:ascii="Times New Roman" w:hAnsi="Times New Roman" w:cs="Times New Roman"/>
          <w:kern w:val="24"/>
          <w:sz w:val="24"/>
          <w:szCs w:val="24"/>
        </w:rPr>
        <w:t>надлежни орган нарочито узима у обзир величину, специфичне особине пројекта, осетљивост животне средине у месту извођења пројекта, врсту и особине могућих утицаја пројеката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посебно </w:t>
      </w:r>
      <w:r w:rsidRPr="0044562B">
        <w:rPr>
          <w:rFonts w:ascii="Times New Roman" w:hAnsi="Times New Roman" w:cs="Times New Roman"/>
          <w:kern w:val="24"/>
          <w:sz w:val="24"/>
          <w:szCs w:val="24"/>
        </w:rPr>
        <w:t xml:space="preserve">у односу на циљеве очувања </w:t>
      </w:r>
      <w:r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и целовитост подручја еколошке мреже.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2217F7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</w:pP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Образлажући </w:t>
      </w:r>
      <w:r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Предлог закона о контроли опасности од великих удеса који укључују опасне супстанце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рекла је да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је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2012. </w:t>
      </w:r>
      <w:proofErr w:type="gramStart"/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године</w:t>
      </w:r>
      <w:proofErr w:type="gramEnd"/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>усвојена Директива 2012/18/ЕУ о контроли опасности од великих удеса који укључују опасне супстанце (Сев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есо III 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д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иректива), 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првенствено у циљу усклађивања са међународним системом класификације хемикалија (GHS/CLP). Севесо III директива je на нивоу Европске уније ступила на снагу 1. </w:t>
      </w:r>
      <w:proofErr w:type="gramStart"/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>јуна</w:t>
      </w:r>
      <w:proofErr w:type="gramEnd"/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2015. </w:t>
      </w:r>
      <w:proofErr w:type="gramStart"/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>године</w:t>
      </w:r>
      <w:proofErr w:type="gramEnd"/>
      <w:r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>, а Севесо II директива је стављена ван снаге.</w:t>
      </w:r>
      <w:r w:rsidRPr="0044562B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Циљ је превенција великих удеса и ограничавање њихових последица по здравље људи и животну средину.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Обим примене су индустријска постројења у којима су присутне опасне супстанце у одређеним количинама.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217F7" w:rsidRPr="0044562B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</w:pP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Истакла је да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су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према Севесо III директиви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опасне супстанце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или смеше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) оне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које су обухваћене Делом 1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–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категорије опасних супстанци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или су наведене у Делу 2 – именоване опасне супстанце Анекса I директиве.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Анекс I Севесо III директиве је већ унет у домаће законодавство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Правилник о листи опасних материја и њиховим количинама и критеријумима за одређивање врсте док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умената које израђује оператер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С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евесо постројења, односно комплекса, чији саставни део чине Листа опасних материја и њихових граничних количина и Листа категорија опасних материја и њихових граничних количина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)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ако се овај закон доноси први пут, одређена регулатива код нас већ постоји. Велики удеси имају значајане утицаје на </w:t>
      </w:r>
      <w:r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људско здравље и животну средину, и праве велику економску штету. Суштина је да се обезбеди бољи ниво заштите од хемијских удеса, али и усклађивање са</w:t>
      </w:r>
      <w:r w:rsidRPr="00DC22C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Севесо III директивом.</w:t>
      </w:r>
      <w:r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Усвајањем овог закона и доношењем подзаконских аката на основу њега, </w:t>
      </w:r>
      <w:r w:rsidRPr="00DC22CC">
        <w:rPr>
          <w:rFonts w:ascii="Times New Roman" w:hAnsi="Times New Roman" w:cs="Times New Roman"/>
          <w:kern w:val="24"/>
          <w:sz w:val="24"/>
          <w:szCs w:val="24"/>
          <w:lang w:val="sr-Cyrl-CS"/>
        </w:rPr>
        <w:t>Севесо III</w:t>
      </w:r>
      <w:r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директива биће </w:t>
      </w:r>
      <w:r w:rsidRPr="00DC22CC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CS"/>
        </w:rPr>
        <w:t>потпуно</w:t>
      </w:r>
      <w:r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пренета у </w:t>
      </w:r>
      <w:r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lastRenderedPageBreak/>
        <w:t>национално законодавство.</w:t>
      </w:r>
      <w:r w:rsidRPr="00DC22CC">
        <w:rPr>
          <w:rFonts w:ascii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Циљеви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Предлога </w:t>
      </w:r>
      <w:r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закона су: 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утврђивање мера неопходних за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превенцију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великих удеса и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ограничавање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њихових последица по здравље људи и животну средину, обезбеђивање </w:t>
      </w:r>
      <w:r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 xml:space="preserve">управљања ризиком 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од великог удеса предузимањем одговарајућих мера превенције на свим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нивоима, успостављање и примена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мера безбедности и мера за смањење ризика да би се спречили могући удеси,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обезбеђив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ње превенције великих удеса и ограничавања последица тих удеса пр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и планирању простора, обезбеђивање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приступ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а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информацијама јавност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и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о комплексима и локалитетима где је предвиђена њихова градња, 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нарочито о мерама које треба</w:t>
      </w:r>
      <w:r w:rsidR="00C723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да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предуз</w:t>
      </w:r>
      <w:r w:rsidR="00C723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му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 w:rsidR="00C723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лиц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а која могу бити погођена великим удесом.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</w:p>
    <w:p w:rsidR="002217F7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Ре</w:t>
      </w:r>
      <w:r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кла је да су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Предлогом закона</w:t>
      </w:r>
      <w:r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одређени надлежни органи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и утврђене су надлежности за спровођење обавеза, захтев за координацију рада самих надлежних органа и њихова обавеза да сарађују и обезбеде механизме за сарадњу у области превенције великих удеса, просторног планирања и смањења ризика од катастрофа и управљања ванредним ситуацијама. </w:t>
      </w:r>
      <w:r w:rsidRPr="0044562B"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Дефинисане су</w:t>
      </w:r>
      <w:r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и обавезе надлежног органа јединице локалне самоуправе након великог удеса који је настао на његовој административној територији. </w:t>
      </w:r>
      <w:r w:rsidRPr="0044562B"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Уређена је</w:t>
      </w:r>
      <w:r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обавеза и поступак консултација надлежних органа у циљу превенције великих удеса у току просторног планирања. 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даје </w:t>
      </w:r>
      <w:r w:rsidRPr="004456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услове и мере </w:t>
      </w:r>
      <w:r w:rsidRPr="0044562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превенције великих удеса </w:t>
      </w:r>
      <w:r w:rsidRPr="0044562B">
        <w:rPr>
          <w:rFonts w:ascii="Times New Roman" w:hAnsi="Times New Roman" w:cs="Times New Roman"/>
          <w:sz w:val="24"/>
          <w:szCs w:val="24"/>
          <w:lang w:val="sr-Latn-RS"/>
        </w:rPr>
        <w:t>и ограничавања последица тих удеса при планирању простора.</w:t>
      </w:r>
      <w:r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учешћа јавности и заинтересоване јавности у изради, измени или прегледу планова и програма у вези са планирањем нових комплекса и нових развоја простора у близини комплекса, спроводи се у складу са прописом којим се уређује поступак учешћа јавности у изради одређених планова и програма у области животне средине. </w:t>
      </w:r>
    </w:p>
    <w:p w:rsidR="002217F7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Наве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ла је и обавезе оператера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за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сваки комплекс</w:t>
      </w:r>
      <w:r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: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идентификација комплекса (да ли је постројење вишег или нижег реда),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обавештење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(да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се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изради и достави), политика превенције великог удеса,</w:t>
      </w:r>
      <w:r w:rsidRPr="001B5EA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систем управљања безбедношћу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да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се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изради, достави и спроведе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),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извештај о безбедности (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за комплексе вишег реда да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се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изради, достави и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да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се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активности на комплексу обавља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ју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у складу са тим извештајем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 и 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интерни План заштите од великог удеса (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за комплексе вишег реда да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се</w:t>
      </w:r>
      <w:r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изради, достави и примени у случају удеса). </w:t>
      </w:r>
    </w:p>
    <w:p w:rsidR="002217F7" w:rsidRPr="001B5EAD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</w:p>
    <w:p w:rsidR="002217F7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Образлажући </w:t>
      </w:r>
      <w:r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>Предлог закона о потврђивању Минамата конвенције о живи</w:t>
      </w:r>
      <w:r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, подсетила је да је жива тешки метал, течан на собној температури.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Ослобађање живе у животну средину настаје као последица распадања живиних руда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или као последица људске активности (индустријски процеси, рударство, крчење шума, спаљивaње отпада и фосилних горива).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Жива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се природно не нал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a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зи у живим организмима тако да </w:t>
      </w:r>
      <w:r w:rsidR="00023280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је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било какво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присуство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овог метала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у организмима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у било којој концентрацији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искључиво последица контаминације.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Сви облици живе су токсични за људе и животну средину.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М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инистарство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је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и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раније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предузело мере како б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и се забранило коришћење живе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а р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атификација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Конвеницје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ће омогућити приступ међународним донаторским фондовима.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 </w:t>
      </w:r>
    </w:p>
    <w:p w:rsidR="002217F7" w:rsidRPr="001B5EAD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Финални текст Минамата конвенције је усвојен 10. октобра 2013. године у Минамати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у оквиру Дипломатске конференције опуномоћеника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GB"/>
        </w:rPr>
        <w:t>.</w:t>
      </w:r>
      <w:r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Република Србија потписала је Минамата конвенцију о живи 9. октобра 2014. године и тиме исказала спремност за решавање проблема у вези са живом како на националном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тако и на 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lastRenderedPageBreak/>
        <w:t>глобалном нивоу. Минамата конвенциј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а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о живи је ступила на снагу 16. августа 2017. године</w:t>
      </w:r>
      <w:r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Д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о данас је 1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4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9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земаља ратификовало ову конвенцију.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387217" w:rsidRPr="002217F7" w:rsidRDefault="002217F7" w:rsidP="002217F7">
      <w:pPr>
        <w:spacing w:after="0"/>
        <w:ind w:firstLine="720"/>
        <w:jc w:val="both"/>
      </w:pP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Истакла је да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је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ц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иљ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К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онвенције заштита здравља људи и животне средине од загађења и последица насталих услед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људских активности на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емисиј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и испуштања живе и њених једињења у животну средину.</w:t>
      </w:r>
      <w:r w:rsidRPr="001B5EA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sr-Cyrl-CS"/>
        </w:rPr>
        <w:t xml:space="preserve"> 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Имплементацијом ове конвенције постиж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у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се: смањење и престанак снабдевања и трговине живом, фазно искључивање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,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или фазно смањивање одређених производа и процеса у којима се налази или користи жива, као и смањење емисија живе и њеног испуштања у животну средину.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И</w:t>
      </w:r>
      <w:r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ако је у питању правно-обавезујући документ, имплементација неких одредби заснива се на добровољном принципу и зависи од одлуке на националном нивоу. Циљеви Конвенције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односе се пре свега на: забрану отварања нових рудника живе и постепено затварање постојећих рудника, мере за контролу емисија у ваздух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неформалн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и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сектор који се бави занатским рударством и добијањем злата у малом обиму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безбедно управљањ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е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отпадом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који садржи живу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и санаци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ју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контаминираних локација. Један од циљева је и </w:t>
      </w:r>
      <w:r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усаглашеност Минамата конвенције са већ ратификованим инструментима међународног п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рава од стране Републике Србије:</w:t>
      </w:r>
      <w:r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Базелском конвенцијом о контроли прекограничног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кретања опасних отпада и њиховог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одлагањ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а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Ротердамском конвенцијом о поступку давања сагласности на основу претходног обавештења за одређене опасне хемикалије и пестициде у међународној трговини и Стокхолмском конвенцијом о дуготрајним органским загађујућим супстанцама.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Република Србија је предузела одговарајуће кораке за усаглашавање националних прописа из области безбедног управљања живом са релевантним правним актима ЕУ из ове области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,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а нарочито с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Уредбом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ЕУ 852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/</w:t>
      </w:r>
      <w:r w:rsidR="00DE1F3B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2017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о живи. </w:t>
      </w:r>
      <w:r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Нова Уредба ЕУ бр. 852/2017 о живи, ускладила је законодавство ЕУ са Минамата конвенцијом о живи, њеним одредбама додатно се забрањује извоз живе, обезбеђује безбедно складиштење живе и живиног отпада и ограничава коришћење живе у многим производима. Република Србија је започела усклађивање националног законодавства са предметном уредбом.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сискусији су уч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ествовали: Добрица Веселиновић,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Татјана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Марковић Топаловић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Милимир Вујадиновић,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 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Поповић, Сандра Докић, Сара Павк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ов, Дејан Булатовић и Маријан Ристичевић. 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FC5012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Добрица Веселиновић је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захвалио представници Министарства на садржајној презентацији предлога закона. Изразио је жаљење што је седница Одбора сазвана у време одржавања седнице Народне скупштине са важном темом на дневном реду, 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му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>отежава да се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детаљно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посвети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предложеним документима, као и због тога што је 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расправа 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објед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>њена, што ће утицати на садржајност дискусије. Посланичка група Зелено-леви фронт ће свакако поднети амандмане на предлоге закона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процени утицаја и стратешкој процени утицаја на животну средину, а 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једна од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примедб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односи на то да у оквиру образложења 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>ма објашњења о томе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шта се мења, што није у складу са методолошким правилима. Све у свему, има основа за то да се поједине одредбе додатно продубе и реше на други начин, а примедба је такође и да се углавном не планира унапред, него се најчешће чека да се нешто лоше деси, па се онда предузимају мере. 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Замолио је за мишљење представника Министарства у погледу тога како ће ова два предлога утицати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потенцијални пројекат „Рио Тинто“ о коме се паралелно расправља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седници Народне скупштине. Поставио је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питање шта се дешава са мрежом организација „Зелена столица“ у погледу учешћа на седницама овог одбора и докле се стигло са образовањем 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неформалне 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Зелене посланичке групе.  </w:t>
      </w:r>
      <w:r w:rsidR="00FC5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Татјана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Марковић Топаловић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изразила незадовољство због тога што је између две седнице Одбора прошло пола године</w:t>
      </w:r>
      <w:r w:rsidR="006D40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сматра да је било неопходно сазвати нову седницу доста раније. Такође сматра да је све оно што се односи на рударење литијума, а што је тема актуелне седнице Народне скупштине, требало обрадити и на овом одбору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 да би Одбор требало да се састаје једном месчно, јер се земља налази у еколошкој катастрофи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Замолила је да седнице Одбора не буду сазиване у време када је на дневном реду Народне скупштине важна тема у којој поједини чланови Одбора желе да учествују.  </w:t>
      </w:r>
    </w:p>
    <w:p w:rsidR="00C720D0" w:rsidRPr="00B91FE1" w:rsidRDefault="00C720D0" w:rsidP="00C720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 су у питању предлози закона који су на дневном реду, 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сматра да су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Министарства свој посао професионално обавили, али жели да постави неколико питања – најпре које је њихово виђење тога како ће ови предлози закона утицати на актуелну ситуацију у Шапцу, граду из кога она долази. 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Наиме, фирма „Еликсир Зорка“ из Шапца спада у једно од Севесо постројења вишег реда, што подразумева да је дужна да поседује извештај о безбедности и план заштите од удеса, на шта је у фебруару 2017. године добила сагласност Министарства. Сходно томе, Град Шабац 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 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>ло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има план заштите од великих удеса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што није случај. Међутим, Министарство је без обзира на то, издало овој фирми интегрисану ИППЦ дозволу за складиштење и третман опасног и неопасног отпада. Стога је поставила питање шта ће бити с овом и сличним фирмама, када закон о стратешкој процени утицаја на животну средину почне да се примењује. </w:t>
      </w:r>
    </w:p>
    <w:p w:rsidR="00C720D0" w:rsidRDefault="00C720D0" w:rsidP="00C720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вези са Предлогом закона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стратешкој процени утицаја на животну средину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 обзиром на то да је државна секретарка истакла да се таква процена не ради кад су у питању мале површине, поставила је питање шта то подразумева, јер из самог предлога није јасно. Затим је питала да ли се зна кроз који штампани медиј ће бити обављено објављивање, а у вези са надзором је скренула пажњу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то 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Министарство бира кадрове за стручну комисију, доноси све важне одлуке и врши надзор, па је затражила појашњење методологије овог надзора. Кад је у питању члан 36. Предлога, који се у оквиру Казнених одредби налази у делу 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„Привредни преступи“, истакла је да су новчане казне смешно мале, што ће довести до тога да ће привредници и предузетници пре плаћати казне, него што ће се бавити еколошком стандардизацијом, а у реалности би те казне требало да буду драконске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како се не би кршиле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91FE1" w:rsidRDefault="00B91FE1" w:rsidP="00B91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91FE1" w:rsidRDefault="00655B0D" w:rsidP="00655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је истакао да ће се свакако трудити да на седницама Одбора наратив буде пристојан, како бе се чувао дигнитет и Народне скупштине, и самог одбора, за разлику од прошлог сазива. 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се тиче времена сазивања седница Одбора, сматра да је свако време подједнако добро и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одговорно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чланови на њих</w:t>
      </w:r>
      <w:r w:rsidR="001E7DC9" w:rsidRP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долазе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>, јер им је то посао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Мила Поповић је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подсетила да је на депонијама у Србији, према последњим доступним подацима МУП, током једне године забележено 1760 пожара, што је значајно утицало на лош квалитет ваздуха</w:t>
      </w:r>
      <w:r w:rsidR="00701D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земљи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>. Око 70% депонија уопште није предвиђено просторно-планским документима, а не постоји ни студија о процени утицаја на животну средину</w:t>
      </w:r>
      <w:r w:rsidR="00701D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реке се изливају фекалне воде, јер не постоје адекватни системи за пречишћавање отпадних вода, реке су затрпане отпадом, а посебна прича</w:t>
      </w:r>
      <w:r w:rsidR="00BF7323" w:rsidRP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проблем с опасним отпадом. Поред свих ових проблема, у 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јединицама 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локални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>х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самоуправа и даље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нема људи запослених на пословима заштите животне средине. </w:t>
      </w:r>
    </w:p>
    <w:p w:rsidR="001C6D9D" w:rsidRDefault="004C1D8F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Кад је у питању Предлог закона о стратешкој процени утицаја на животну средину, истакла је да овај документ не гарантује заштиту, већ само представља покри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 даљу девастацију Србије. Наиме, 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л. 4. (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Начела стратешке процене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 и 7. (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Хијерархијски оквир и основа и избегавање двоструке процене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омогућавају употребу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застарелих података, отварајући простор за злоупотребе, док у члану 10. (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Одлука да се не спроводи поступак стратешке процене и обавештавање заинтересованих органа и организација и јавности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није предвиђена жалба на ову одлуку, 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чланови комисије нису у обавези да имају искуства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>. С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матра да су казне прописане чланом 37, у случају лажних података обрађивача извештаја, премале. </w:t>
      </w:r>
    </w:p>
    <w:p w:rsidR="001C6D9D" w:rsidRDefault="001C6D9D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C1D8F" w:rsidRDefault="001C6D9D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Председник је рекао да би, кад је већ поменуто питање депонија, било занимљиво чути од представника Министарства 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колико је дивљих депонија уклоњено у периоду од 2000. до 2012. године, а колико од тог периода до данас, као и колико је несанитарних депонија настало у 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назначеном 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претход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>ном периоду, а колико у овом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сада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4C1D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3F7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Сандра Докић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>, државна секретарка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рекла да су сва поменута питања, укључујући и депоније, резултат вишедеценијских проблема који се не могу решити преко ноћи. У претходном периоду је направљено 12 регионалних депонија, једна од њих је у Ужицу, „Дубоко“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то је депонија којој гравитира девет јединица локалне самоуправе, а до пожара на њој је дошло услед неадекватног рада на самој овој депонији. Објаснила је да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за затварање несанитарних депонија (којих у Србији има преко 130), најпре неопходно отварање регионалних депонија и настајање регионалних центара за управљање отпадом. 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претходном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периоду је изграђен само један Р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>егионалн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центар, у Суботици, а интензивно се ради на још девет њих, који ће сви имати своје санитарне депоније и биће уведен систем одвајања отпада. Сви грађани треба да се потруде да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оптад одваја 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>тамо где је одвајање</w:t>
      </w:r>
      <w:r w:rsidR="001E7DC9" w:rsidRP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могуће, 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Министарство је у ово уложило много напора, спроведена је и кампања којом се Министарство обратило грађанима молбом да учествују у целом процесу.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 постоји свест о свим проблемима у вези са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егионалном депонијом у Ужицу,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па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време увидел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ће се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поменути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проблем десити, због чега је 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>она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постала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део пројекта којим ће се финансирати не само 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санирање депоније, већ и проширење њених ћелија, како би на њу и даље могао да се одлаже отпад</w:t>
      </w:r>
      <w:r w:rsidR="00F736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6DB">
        <w:rPr>
          <w:rFonts w:ascii="Times New Roman" w:eastAsia="Times New Roman" w:hAnsi="Times New Roman" w:cs="Times New Roman"/>
          <w:sz w:val="24"/>
          <w:szCs w:val="24"/>
        </w:rPr>
        <w:t>нa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правиће се компостана и успоставити систем одвајња отпада, управо да би могла да опслужује све јединице локалних самоуправа, макар наредних 20 година. 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Депонија ће бити изграђена апсолутно у складу са стандардима заштите животне средине. А што се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тиче 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несанитарних депонија, 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сваку за коју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стекну услови да буд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затворен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сваке године се из буџета издвајају озбиљна средства, а Министарству је за потребе тога буџет повећан за преко три пута у односу на 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2020. годину, уз идеју изградње регионалних центара и затварање несанитарних депонија. 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 се сваке године, већ четврту годину за редом, чисте дивље депоније, којих је до 2020. године у једном моменту било 3500, а од тада их је очишћено преко 1100 и прати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>, тј. спречава да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>оне поново стварају, постављањем камера и контролисањем целог процеса.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823F7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Истакла је да иако заштита животне средине подразумева изузетне инвестиционе трошкове, није проблем обезбедити средства за нешто што је у интересу грађана и здравља људи и животне средине,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већ је проблем у томе што ти пројекти дуго трају, а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 планови и стратегије који се доносе, помажу да се јасније сагледа шта је неопходно урадити, који се стандарди морају задовољити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колико 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средстава 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обезбедити, док се не почне са њиховом реализацијом. 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претходном периоду ни једна јединица локалне самоуправе није имала решен проблем отпадних вода, тако да се на томе ради, али су у питању врло комплексни пројекти, који захтевају време</w:t>
      </w:r>
      <w:r w:rsidR="000B72FF">
        <w:rPr>
          <w:rFonts w:ascii="Times New Roman" w:eastAsia="Times New Roman" w:hAnsi="Times New Roman" w:cs="Times New Roman"/>
          <w:sz w:val="24"/>
          <w:szCs w:val="24"/>
          <w:lang w:val="sr-Cyrl-RS"/>
        </w:rPr>
        <w:t>, а средства су обезбеђена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 су обезбеђена кредитна средства за побољшање квалитета ваздуха, у јавним устано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>вама ће бити замењени котлови,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наставиће се и подршка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котлова у домаћинствима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и одустајање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чврстог горива, а 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прела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 на еколошки прихватљиве енергенте. </w:t>
      </w:r>
    </w:p>
    <w:p w:rsidR="00314324" w:rsidRDefault="00314324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  <w:t>Када се говори о заштити животне средине, важно је рећи да је то нешто за шта ће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наредних 10 до 20 година бити неопходан интензиван рад, уз обезбеђивање изузетно великих финансијских средстава. 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54A5" w:rsidRDefault="00C90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Сара Павк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>ов, државна секретарка, осврнула се на питање чему може да допринесе Предлог закона о стратешкој процени утицаја на животну средину, рекавши да је суштина управо у томе да се заштите интереси животне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средине у целој земљи. О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>вакав предлог доприноси што већем учешћу јавности, а с друге стране значајно је и што се њиме прецизно дефин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ишу критеријуми за пројекте на Л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исти 2, који су до сад били предмет потенцијалног одлучивања, а сад неће више постојати сумња у дефинисаност критеријума, нити у то ко учествује у доношењу одлука. </w:t>
      </w:r>
    </w:p>
    <w:p w:rsidR="00387217" w:rsidRDefault="00920E0B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 је у питању стручна независна експертиза, 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објаснила је да се од 2021. године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сајту Министарства налази списак експерата, међу којима су и професори академских заједница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 релевантних области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 тим што 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они 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>не смеју бити у тимовима који су од стране правних лица ангажовани за израду аката који су предмет дефинисања процене утицаја у Министарству, чиме се диверзификује утицај различитих струка и обезбеђује да не дође до преклапања оних који су израдили документ и оних који ће бити у техничкој комисији која ће исти разматрати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4754A5" w:rsidRDefault="008F6DD0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Рекла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област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ваздуха започет рад на креирању новог закона о заштити ваздуха, јер актуелни није претрпео измене од 2009. године, а од тада је на нивоу ЕУ донето преко 10 директива, тако 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пред Министарством комплекс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процес, а у радну групу за његову израду су укључени и представници цивилног друштва. </w:t>
      </w:r>
    </w:p>
    <w:p w:rsidR="007132A2" w:rsidRDefault="004754A5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вези са загађеношћу ваздуха у главном граду, рекла је да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подацима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Градског завода за јавно здравље који има аутоматске мерне станице, и Агенције за заштиту животне средине, средња годишња вредност 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>ПМ-10 честица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која је иначе референтна 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би се индекс уопште приказивао), показује тренд смањења 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>загађености у Граду Б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>еограду, иако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он</w:t>
      </w:r>
      <w:bookmarkStart w:id="0" w:name="_GoBack"/>
      <w:bookmarkEnd w:id="0"/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јесте загађен, понајвише услед азотних оксида који долазе у преко 41% од друмског саобраћаја, али се планира да ово буде надомешћено кроз меру субвенционисања електричних возила. </w:t>
      </w:r>
    </w:p>
    <w:p w:rsidR="00DE2135" w:rsidRDefault="007132A2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 је у питању историјски отпад, рекла је да је Министарство 2020. године почело с израдом Беле књиге, у којој су дефинисане најкритичније локације историјског отпада, када је по приоритетима започето и уклањање огромних количина отпада са тих локација. </w:t>
      </w:r>
    </w:p>
    <w:p w:rsidR="004754A5" w:rsidRDefault="00DE2135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Навела је да се увођењем нове регулативе, или изменом постојеће, делује у животној средини у циљу давања позитивног резултата, који ће бити видљив и грађанима, а кроз примере 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праксе из ЕУ. Студиозним деловањем се улажу напори да се разумеју потребе локалне заједнице и из тог разлога многи представници Министарства више врем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>ена проводе на терену, него у к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целаријама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>, што омогућава да се чланови директива прилагоде нашим социо-економским потребама, уз стварну заштиту животне средине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6444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Дејан Булатовић је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рекао да не стоје опаске чланова Одбора који припадају опозицији у вези са тим да немају прилике да дискутују о предлозима закона, јер им је то омогућено и на овој седници, али и на седници Народне скупштине, када ови предлози буду на дневном реду. </w:t>
      </w:r>
    </w:p>
    <w:p w:rsidR="00387217" w:rsidRDefault="008E6444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Захвалио је представницима Министарства на принципу проглашавања заштићених подручја и рекао да је у том погледу много урађено. Он долази из Шида, где је управо ове године за заштићено подручје проглашен Парк природе Мали Босут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, 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еђутим,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на том подручју уочено 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дугогодишње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гомилање ђубрета,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које је било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покриве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 земљом,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здруженом акцијом, уз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подршку Министарства за заштиту животне средине, успешно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изву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чено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>ук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="008A12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>њено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167 камиона ђубрета. </w:t>
      </w: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Добрица Веселиновић је поновио да је 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убудуће 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>неопходно се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ице Одбора заказивати у терминима који се неће преклапати са седницама Народне скупштине, уколико је на дневном реду тема која је важна за чланове овог одбора. 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Татјана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Марковић Топаловић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истакла да су теме у надлежности овог одбора стручне и да им са стручног становишта треба и прилазити, без политичких обрачуна и помињања политичке прошлости. Још једном је поновила молбу да 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седнице О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одржавају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да се не преклапају са седницама Народне скупштине. </w:t>
      </w:r>
    </w:p>
    <w:p w:rsidR="00D6295F" w:rsidRDefault="00D6295F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5DE" w:rsidRDefault="00D6295F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 Павков је рекла да је јако добро што се поред еколога, различите струке интересују за заштиту животне средине, као што су физичари, хемичари, правници, рударско-геолошки инжењери, хидрогеолози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омогућити стручнију расправу о 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предстојећим докуме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има.</w:t>
      </w:r>
    </w:p>
    <w:p w:rsidR="002515DE" w:rsidRDefault="002515DE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5DE" w:rsidRDefault="002515DE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Маријан Р</w:t>
      </w:r>
      <w:r w:rsidR="00EB2458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истичевић је са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присутнима </w:t>
      </w:r>
      <w:r w:rsidR="00EB245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подели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анегдоту из времена кад је био председник Скупштине општине Инђија, а која се тиче заштите животне средине. </w:t>
      </w:r>
    </w:p>
    <w:p w:rsidR="002515DE" w:rsidRDefault="002515DE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5DE" w:rsidRDefault="002515DE" w:rsidP="002515DE">
      <w:pPr>
        <w:pStyle w:val="NoSpacing"/>
        <w:tabs>
          <w:tab w:val="left" w:pos="900"/>
        </w:tabs>
        <w:ind w:firstLine="709"/>
        <w:rPr>
          <w:b/>
          <w:color w:val="000000"/>
          <w:sz w:val="22"/>
          <w:szCs w:val="22"/>
          <w:lang w:val="sr-Cyrl-RS" w:eastAsia="sr-Cyrl-CS"/>
        </w:rPr>
      </w:pPr>
      <w:r w:rsidRPr="002515DE">
        <w:rPr>
          <w:sz w:val="24"/>
          <w:szCs w:val="24"/>
          <w:lang w:val="sr-Cyrl-RS" w:eastAsia="sr-Cyrl-CS"/>
        </w:rPr>
        <w:t xml:space="preserve">Након закључене расправе, на предлог председника, Одбор је већином гласова </w:t>
      </w:r>
      <w:r>
        <w:rPr>
          <w:color w:val="000000"/>
          <w:sz w:val="24"/>
          <w:szCs w:val="24"/>
          <w:lang w:val="sr-Cyrl-RS" w:eastAsia="sr-Cyrl-CS"/>
        </w:rPr>
        <w:t xml:space="preserve">(11 за, </w:t>
      </w:r>
      <w:r w:rsidRPr="002515DE">
        <w:rPr>
          <w:color w:val="000000"/>
          <w:sz w:val="24"/>
          <w:szCs w:val="24"/>
          <w:lang w:val="sr-Cyrl-RS" w:eastAsia="sr-Cyrl-CS"/>
        </w:rPr>
        <w:t>1 уздржан</w:t>
      </w:r>
      <w:r>
        <w:rPr>
          <w:color w:val="000000"/>
          <w:sz w:val="24"/>
          <w:szCs w:val="24"/>
          <w:lang w:val="sr-Cyrl-RS" w:eastAsia="sr-Cyrl-CS"/>
        </w:rPr>
        <w:t>, 1 није гласао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 w:rsidRPr="00684B15">
        <w:rPr>
          <w:color w:val="000000"/>
          <w:sz w:val="24"/>
          <w:szCs w:val="24"/>
          <w:lang w:val="sr-Cyrl-RS" w:eastAsia="sr-Cyrl-CS"/>
        </w:rPr>
        <w:t>одлучио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да предложи Народној скупштини </w:t>
      </w:r>
      <w:r w:rsidRPr="002515DE">
        <w:rPr>
          <w:b/>
          <w:color w:val="000000"/>
          <w:sz w:val="24"/>
          <w:szCs w:val="24"/>
          <w:lang w:val="sr-Cyrl-RS" w:eastAsia="sr-Cyrl-CS"/>
        </w:rPr>
        <w:t>да прихвати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 w:rsidRPr="002515DE">
        <w:rPr>
          <w:b/>
          <w:color w:val="000000"/>
          <w:sz w:val="24"/>
          <w:szCs w:val="24"/>
          <w:lang w:val="sr-Cyrl-RS" w:eastAsia="sr-Cyrl-CS"/>
        </w:rPr>
        <w:t>Предлог закона</w:t>
      </w:r>
      <w:r w:rsidRPr="002515DE">
        <w:rPr>
          <w:b/>
          <w:color w:val="000000"/>
          <w:sz w:val="22"/>
          <w:szCs w:val="22"/>
          <w:lang w:val="sr-Cyrl-RS" w:eastAsia="sr-Cyrl-CS"/>
        </w:rPr>
        <w:t xml:space="preserve"> о </w:t>
      </w:r>
      <w:r w:rsidRPr="002515DE">
        <w:rPr>
          <w:b/>
          <w:sz w:val="24"/>
          <w:szCs w:val="24"/>
          <w:lang w:val="sr-Cyrl-CS"/>
        </w:rPr>
        <w:t>потврђивању Минамата конвенције о живи, који је поднела Влада</w:t>
      </w:r>
      <w:r w:rsidRPr="002515DE">
        <w:rPr>
          <w:b/>
          <w:color w:val="000000"/>
          <w:sz w:val="22"/>
          <w:szCs w:val="22"/>
          <w:lang w:val="sr-Cyrl-RS" w:eastAsia="sr-Cyrl-CS"/>
        </w:rPr>
        <w:t>.</w:t>
      </w:r>
    </w:p>
    <w:p w:rsidR="00684B15" w:rsidRDefault="00684B15" w:rsidP="002515DE">
      <w:pPr>
        <w:pStyle w:val="NoSpacing"/>
        <w:tabs>
          <w:tab w:val="left" w:pos="900"/>
        </w:tabs>
        <w:ind w:firstLine="709"/>
        <w:rPr>
          <w:b/>
          <w:color w:val="000000"/>
          <w:sz w:val="22"/>
          <w:szCs w:val="22"/>
          <w:lang w:val="sr-Cyrl-RS" w:eastAsia="sr-Cyrl-CS"/>
        </w:rPr>
      </w:pPr>
    </w:p>
    <w:p w:rsidR="00684B15" w:rsidRDefault="00684B15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RS" w:eastAsia="sr-Cyrl-CS"/>
        </w:rPr>
        <w:t>Н</w:t>
      </w:r>
      <w:r w:rsidRPr="002515DE">
        <w:rPr>
          <w:sz w:val="24"/>
          <w:szCs w:val="24"/>
          <w:lang w:val="sr-Cyrl-RS" w:eastAsia="sr-Cyrl-CS"/>
        </w:rPr>
        <w:t xml:space="preserve">а предлог председника, Одбор је већином гласова </w:t>
      </w:r>
      <w:r>
        <w:rPr>
          <w:color w:val="000000"/>
          <w:sz w:val="24"/>
          <w:szCs w:val="24"/>
          <w:lang w:val="sr-Cyrl-RS" w:eastAsia="sr-Cyrl-CS"/>
        </w:rPr>
        <w:t>(10 за, 2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уздржан</w:t>
      </w:r>
      <w:r>
        <w:rPr>
          <w:color w:val="000000"/>
          <w:sz w:val="24"/>
          <w:szCs w:val="24"/>
          <w:lang w:val="sr-Cyrl-RS" w:eastAsia="sr-Cyrl-CS"/>
        </w:rPr>
        <w:t>а, 1 није гласао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 w:rsidRPr="00684B15">
        <w:rPr>
          <w:color w:val="000000"/>
          <w:sz w:val="24"/>
          <w:szCs w:val="24"/>
          <w:lang w:val="sr-Cyrl-RS" w:eastAsia="sr-Cyrl-CS"/>
        </w:rPr>
        <w:t>одлучио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да предложи Народној скупштини </w:t>
      </w:r>
      <w:r w:rsidRPr="002515DE">
        <w:rPr>
          <w:b/>
          <w:color w:val="000000"/>
          <w:sz w:val="24"/>
          <w:szCs w:val="24"/>
          <w:lang w:val="sr-Cyrl-RS" w:eastAsia="sr-Cyrl-CS"/>
        </w:rPr>
        <w:t>да прихвати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 w:rsidRPr="002515DE">
        <w:rPr>
          <w:b/>
          <w:color w:val="000000"/>
          <w:sz w:val="24"/>
          <w:szCs w:val="24"/>
          <w:lang w:val="sr-Cyrl-RS" w:eastAsia="sr-Cyrl-CS"/>
        </w:rPr>
        <w:t>Предлог закона</w:t>
      </w:r>
      <w:r w:rsidRPr="002515DE">
        <w:rPr>
          <w:b/>
          <w:color w:val="000000"/>
          <w:sz w:val="22"/>
          <w:szCs w:val="22"/>
          <w:lang w:val="sr-Cyrl-RS" w:eastAsia="sr-Cyrl-CS"/>
        </w:rPr>
        <w:t xml:space="preserve"> о</w:t>
      </w:r>
      <w:r>
        <w:rPr>
          <w:lang w:val="sr-Cyrl-CS"/>
        </w:rPr>
        <w:t xml:space="preserve"> </w:t>
      </w:r>
      <w:r w:rsidRPr="00684B15">
        <w:rPr>
          <w:b/>
          <w:sz w:val="24"/>
          <w:szCs w:val="24"/>
          <w:lang w:val="sr-Cyrl-CS"/>
        </w:rPr>
        <w:t>процени утицаја на животну средину, који је поднела Влада, у начелу</w:t>
      </w:r>
      <w:r>
        <w:rPr>
          <w:b/>
          <w:sz w:val="24"/>
          <w:szCs w:val="24"/>
          <w:lang w:val="sr-Cyrl-CS"/>
        </w:rPr>
        <w:t>.</w:t>
      </w:r>
    </w:p>
    <w:p w:rsidR="00684B15" w:rsidRDefault="00684B15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CS"/>
        </w:rPr>
      </w:pPr>
    </w:p>
    <w:p w:rsidR="00684B15" w:rsidRPr="002515DE" w:rsidRDefault="00684B15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 w:eastAsia="sr-Cyrl-CS"/>
        </w:rPr>
        <w:t>Н</w:t>
      </w:r>
      <w:r w:rsidRPr="002515DE">
        <w:rPr>
          <w:sz w:val="24"/>
          <w:szCs w:val="24"/>
          <w:lang w:val="sr-Cyrl-RS" w:eastAsia="sr-Cyrl-CS"/>
        </w:rPr>
        <w:t xml:space="preserve">а предлог председника, Одбор је већином гласова </w:t>
      </w:r>
      <w:r>
        <w:rPr>
          <w:color w:val="000000"/>
          <w:sz w:val="24"/>
          <w:szCs w:val="24"/>
          <w:lang w:val="sr-Cyrl-RS" w:eastAsia="sr-Cyrl-CS"/>
        </w:rPr>
        <w:t>(10 за, 2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уздржан</w:t>
      </w:r>
      <w:r>
        <w:rPr>
          <w:color w:val="000000"/>
          <w:sz w:val="24"/>
          <w:szCs w:val="24"/>
          <w:lang w:val="sr-Cyrl-RS" w:eastAsia="sr-Cyrl-CS"/>
        </w:rPr>
        <w:t>а, 1 није гласао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 w:rsidRPr="00684B15">
        <w:rPr>
          <w:color w:val="000000"/>
          <w:sz w:val="24"/>
          <w:szCs w:val="24"/>
          <w:lang w:val="sr-Cyrl-RS" w:eastAsia="sr-Cyrl-CS"/>
        </w:rPr>
        <w:t>одлучио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да предложи Народној скупштини </w:t>
      </w:r>
      <w:r w:rsidRPr="002515DE">
        <w:rPr>
          <w:b/>
          <w:color w:val="000000"/>
          <w:sz w:val="24"/>
          <w:szCs w:val="24"/>
          <w:lang w:val="sr-Cyrl-RS" w:eastAsia="sr-Cyrl-CS"/>
        </w:rPr>
        <w:t>да прихвати</w:t>
      </w:r>
      <w:r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 w:rsidRPr="002515DE">
        <w:rPr>
          <w:b/>
          <w:color w:val="000000"/>
          <w:sz w:val="24"/>
          <w:szCs w:val="24"/>
          <w:lang w:val="sr-Cyrl-RS" w:eastAsia="sr-Cyrl-CS"/>
        </w:rPr>
        <w:t>Предлог закона</w:t>
      </w:r>
      <w:r w:rsidRPr="002515DE">
        <w:rPr>
          <w:b/>
          <w:color w:val="000000"/>
          <w:sz w:val="22"/>
          <w:szCs w:val="22"/>
          <w:lang w:val="sr-Cyrl-RS" w:eastAsia="sr-Cyrl-CS"/>
        </w:rPr>
        <w:t xml:space="preserve"> о</w:t>
      </w:r>
      <w:r>
        <w:rPr>
          <w:lang w:val="sr-Cyrl-CS"/>
        </w:rPr>
        <w:t xml:space="preserve"> </w:t>
      </w:r>
      <w:r w:rsidRPr="00684B15">
        <w:rPr>
          <w:b/>
          <w:sz w:val="24"/>
          <w:szCs w:val="24"/>
          <w:lang w:val="sr-Cyrl-CS"/>
        </w:rPr>
        <w:t>стратешкој</w:t>
      </w:r>
      <w:r>
        <w:rPr>
          <w:lang w:val="sr-Cyrl-CS"/>
        </w:rPr>
        <w:t xml:space="preserve"> </w:t>
      </w:r>
      <w:r w:rsidRPr="00684B15">
        <w:rPr>
          <w:b/>
          <w:sz w:val="24"/>
          <w:szCs w:val="24"/>
          <w:lang w:val="sr-Cyrl-CS"/>
        </w:rPr>
        <w:t>процени утицаја на животну средину, који је поднела Влада, у начелу</w:t>
      </w:r>
      <w:r>
        <w:rPr>
          <w:b/>
          <w:sz w:val="24"/>
          <w:szCs w:val="24"/>
          <w:lang w:val="sr-Cyrl-CS"/>
        </w:rPr>
        <w:t>.</w:t>
      </w:r>
    </w:p>
    <w:p w:rsidR="00684B15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6295F" w:rsidRPr="00684B15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На предлог председника, Одбор је већином гласова </w:t>
      </w:r>
      <w:r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(10 за, 2 уздржана, 1 није гласао) одлучио да предложи Народној скупштини </w:t>
      </w:r>
      <w:r w:rsidRPr="00684B15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да прихвати</w:t>
      </w:r>
      <w:r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684B15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Предлог закона о</w:t>
      </w:r>
      <w:r w:rsidRPr="00684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>контроли опасности од великих удеса који укључују опасне супстанце</w:t>
      </w:r>
      <w:r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>, који је поднела Влада, у начелу.</w:t>
      </w:r>
      <w:r w:rsidR="00D6295F" w:rsidRPr="00684B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84B15" w:rsidRPr="008A122B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66D0" w:rsidRPr="00684B15" w:rsidRDefault="00EB2458" w:rsidP="00684B15">
      <w:pPr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одређен је 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>Милимир Вујадиновић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38658B" w:rsidRPr="0048024C" w:rsidRDefault="0038658B" w:rsidP="003865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је закључена у 1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8024C" w:rsidRPr="0048024C" w:rsidRDefault="0048024C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СЕКРЕТАР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8D686B">
      <w:pPr>
        <w:tabs>
          <w:tab w:val="left" w:pos="1683"/>
        </w:tabs>
        <w:spacing w:after="0" w:line="240" w:lineRule="auto"/>
        <w:rPr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Хана Бутковић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Милимир Вујадиновић</w:t>
      </w:r>
    </w:p>
    <w:sectPr w:rsidR="0038658B" w:rsidRPr="0048024C" w:rsidSect="0038658B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5A" w:rsidRDefault="0095225A" w:rsidP="0038658B">
      <w:pPr>
        <w:spacing w:after="0" w:line="240" w:lineRule="auto"/>
      </w:pPr>
      <w:r>
        <w:separator/>
      </w:r>
    </w:p>
  </w:endnote>
  <w:endnote w:type="continuationSeparator" w:id="0">
    <w:p w:rsidR="0095225A" w:rsidRDefault="0095225A" w:rsidP="0038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5A" w:rsidRDefault="0095225A" w:rsidP="0038658B">
      <w:pPr>
        <w:spacing w:after="0" w:line="240" w:lineRule="auto"/>
      </w:pPr>
      <w:r>
        <w:separator/>
      </w:r>
    </w:p>
  </w:footnote>
  <w:footnote w:type="continuationSeparator" w:id="0">
    <w:p w:rsidR="0095225A" w:rsidRDefault="0095225A" w:rsidP="0038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0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58B" w:rsidRDefault="0038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CB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8658B" w:rsidRDefault="0038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A4"/>
    <w:multiLevelType w:val="hybridMultilevel"/>
    <w:tmpl w:val="5CF00160"/>
    <w:lvl w:ilvl="0" w:tplc="53122BCA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142D2"/>
    <w:multiLevelType w:val="hybridMultilevel"/>
    <w:tmpl w:val="E6F01FD4"/>
    <w:lvl w:ilvl="0" w:tplc="68A4B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95587"/>
    <w:multiLevelType w:val="hybridMultilevel"/>
    <w:tmpl w:val="DE609782"/>
    <w:lvl w:ilvl="0" w:tplc="3E3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8B"/>
    <w:rsid w:val="00023280"/>
    <w:rsid w:val="00052DA0"/>
    <w:rsid w:val="000B72FF"/>
    <w:rsid w:val="000F7C3F"/>
    <w:rsid w:val="001850D0"/>
    <w:rsid w:val="001C6D9D"/>
    <w:rsid w:val="001E7DC9"/>
    <w:rsid w:val="002217F7"/>
    <w:rsid w:val="00222163"/>
    <w:rsid w:val="00222681"/>
    <w:rsid w:val="0022506A"/>
    <w:rsid w:val="002515DE"/>
    <w:rsid w:val="00263452"/>
    <w:rsid w:val="00267074"/>
    <w:rsid w:val="00271B46"/>
    <w:rsid w:val="0029151C"/>
    <w:rsid w:val="00314324"/>
    <w:rsid w:val="0032419E"/>
    <w:rsid w:val="00330A19"/>
    <w:rsid w:val="00353FD3"/>
    <w:rsid w:val="0038658B"/>
    <w:rsid w:val="00387217"/>
    <w:rsid w:val="004119D9"/>
    <w:rsid w:val="00413F16"/>
    <w:rsid w:val="00445212"/>
    <w:rsid w:val="004754A5"/>
    <w:rsid w:val="0048024C"/>
    <w:rsid w:val="004A28D4"/>
    <w:rsid w:val="004C1D8F"/>
    <w:rsid w:val="0053285D"/>
    <w:rsid w:val="005338E9"/>
    <w:rsid w:val="0054668C"/>
    <w:rsid w:val="005546DA"/>
    <w:rsid w:val="005C3A66"/>
    <w:rsid w:val="005C4BC9"/>
    <w:rsid w:val="005C572F"/>
    <w:rsid w:val="006044E1"/>
    <w:rsid w:val="00636275"/>
    <w:rsid w:val="00655B0D"/>
    <w:rsid w:val="0068074A"/>
    <w:rsid w:val="00684B15"/>
    <w:rsid w:val="00692873"/>
    <w:rsid w:val="006A2626"/>
    <w:rsid w:val="006D407C"/>
    <w:rsid w:val="00701DE4"/>
    <w:rsid w:val="007132A2"/>
    <w:rsid w:val="0071749A"/>
    <w:rsid w:val="007230B6"/>
    <w:rsid w:val="0074571D"/>
    <w:rsid w:val="0075272E"/>
    <w:rsid w:val="00775003"/>
    <w:rsid w:val="00784045"/>
    <w:rsid w:val="00823F77"/>
    <w:rsid w:val="0087285A"/>
    <w:rsid w:val="008A122B"/>
    <w:rsid w:val="008B1088"/>
    <w:rsid w:val="008C21C4"/>
    <w:rsid w:val="008D686B"/>
    <w:rsid w:val="008E6444"/>
    <w:rsid w:val="008F6DD0"/>
    <w:rsid w:val="00920E0B"/>
    <w:rsid w:val="0095225A"/>
    <w:rsid w:val="009E2E18"/>
    <w:rsid w:val="009F1088"/>
    <w:rsid w:val="00A15195"/>
    <w:rsid w:val="00B34737"/>
    <w:rsid w:val="00B91FE1"/>
    <w:rsid w:val="00B94D47"/>
    <w:rsid w:val="00BA2CBD"/>
    <w:rsid w:val="00BE3D23"/>
    <w:rsid w:val="00BF7323"/>
    <w:rsid w:val="00C00EA5"/>
    <w:rsid w:val="00C05C85"/>
    <w:rsid w:val="00C12529"/>
    <w:rsid w:val="00C3687E"/>
    <w:rsid w:val="00C43FF9"/>
    <w:rsid w:val="00C720D0"/>
    <w:rsid w:val="00C72390"/>
    <w:rsid w:val="00C90217"/>
    <w:rsid w:val="00CB1B94"/>
    <w:rsid w:val="00D11220"/>
    <w:rsid w:val="00D12CBE"/>
    <w:rsid w:val="00D136C9"/>
    <w:rsid w:val="00D17427"/>
    <w:rsid w:val="00D2136A"/>
    <w:rsid w:val="00D6295F"/>
    <w:rsid w:val="00DA4E1D"/>
    <w:rsid w:val="00DC7D0B"/>
    <w:rsid w:val="00DD26C7"/>
    <w:rsid w:val="00DE1F3B"/>
    <w:rsid w:val="00DE2135"/>
    <w:rsid w:val="00E166D0"/>
    <w:rsid w:val="00EB0A47"/>
    <w:rsid w:val="00EB2458"/>
    <w:rsid w:val="00EB2F51"/>
    <w:rsid w:val="00F0639A"/>
    <w:rsid w:val="00F736DB"/>
    <w:rsid w:val="00FB133A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71BA"/>
  <w15:chartTrackingRefBased/>
  <w15:docId w15:val="{9404FC40-69BE-4EC8-8F1B-C96CD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8B"/>
  </w:style>
  <w:style w:type="paragraph" w:styleId="Footer">
    <w:name w:val="footer"/>
    <w:basedOn w:val="Normal"/>
    <w:link w:val="Foot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8B"/>
  </w:style>
  <w:style w:type="paragraph" w:styleId="ListParagraph">
    <w:name w:val="List Paragraph"/>
    <w:basedOn w:val="Normal"/>
    <w:uiPriority w:val="34"/>
    <w:qFormat/>
    <w:rsid w:val="004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5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2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11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51</cp:revision>
  <dcterms:created xsi:type="dcterms:W3CDTF">2024-10-10T08:13:00Z</dcterms:created>
  <dcterms:modified xsi:type="dcterms:W3CDTF">2025-06-05T08:04:00Z</dcterms:modified>
</cp:coreProperties>
</file>